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D049">
      <w:pPr>
        <w:jc w:val="center"/>
        <w:outlineLvl w:val="0"/>
      </w:pPr>
      <w:r>
        <w:rPr>
          <w:rFonts w:hint="eastAsia"/>
          <w:b/>
          <w:sz w:val="36"/>
        </w:rPr>
        <w:t xml:space="preserve"> </w:t>
      </w:r>
      <w:r>
        <w:rPr>
          <w:rFonts w:hint="eastAsia"/>
          <w:b/>
          <w:sz w:val="36"/>
          <w:lang w:val="en-US" w:eastAsia="zh-CN"/>
        </w:rPr>
        <w:t>信息数据安全风险评估服务</w:t>
      </w:r>
      <w:r>
        <w:rPr>
          <w:rFonts w:hint="eastAsia"/>
          <w:b/>
          <w:sz w:val="36"/>
        </w:rPr>
        <w:t>项目需求书</w:t>
      </w:r>
    </w:p>
    <w:p w14:paraId="6AA96D63">
      <w:pPr>
        <w:pStyle w:val="4"/>
        <w:bidi w:val="0"/>
      </w:pPr>
      <w:r>
        <w:rPr>
          <w:rFonts w:hint="eastAsia"/>
        </w:rPr>
        <w:t>一、项目概述</w:t>
      </w:r>
      <w:bookmarkStart w:id="1" w:name="_GoBack"/>
      <w:bookmarkEnd w:id="1"/>
    </w:p>
    <w:p w14:paraId="00D66C40">
      <w:pPr>
        <w:spacing w:line="360" w:lineRule="auto"/>
      </w:pPr>
      <w:r>
        <w:t>本项目采购包括：</w:t>
      </w:r>
    </w:p>
    <w:p w14:paraId="70912329">
      <w:pPr>
        <w:spacing w:line="360" w:lineRule="auto"/>
        <w:ind w:firstLine="420" w:firstLineChars="200"/>
        <w:rPr>
          <w:rFonts w:hint="eastAsia" w:eastAsiaTheme="minorEastAsia"/>
          <w:highlight w:val="none"/>
          <w:lang w:eastAsia="zh-CN"/>
        </w:rPr>
      </w:pPr>
      <w:r>
        <w:rPr>
          <w:rFonts w:hint="eastAsia" w:eastAsiaTheme="minorEastAsia"/>
          <w:color w:val="FF0000"/>
          <w:highlight w:val="none"/>
          <w:lang w:val="en-US" w:eastAsia="zh-CN"/>
        </w:rPr>
        <w:t>根据《关于印发&lt;工业和信息化领域数据安全风险评估实施细则（试行）&gt; 的通知》，</w:t>
      </w:r>
      <w:r>
        <w:rPr>
          <w:rFonts w:hint="eastAsia"/>
          <w:color w:val="FF0000"/>
          <w:highlight w:val="none"/>
        </w:rPr>
        <w:t>本次项目对化州市人民医院的</w:t>
      </w:r>
      <w:r>
        <w:rPr>
          <w:rFonts w:hint="eastAsia"/>
          <w:color w:val="FF0000"/>
          <w:highlight w:val="none"/>
          <w:lang w:val="en-US" w:eastAsia="zh-CN"/>
        </w:rPr>
        <w:t>3</w:t>
      </w:r>
      <w:r>
        <w:rPr>
          <w:rFonts w:hint="eastAsia"/>
          <w:color w:val="FF0000"/>
          <w:highlight w:val="none"/>
        </w:rPr>
        <w:t>个三级应用系统</w:t>
      </w:r>
      <w:r>
        <w:rPr>
          <w:rFonts w:hint="eastAsia" w:eastAsiaTheme="minorEastAsia"/>
          <w:color w:val="FF0000"/>
          <w:highlight w:val="none"/>
          <w:lang w:val="en-US" w:eastAsia="zh-CN"/>
        </w:rPr>
        <w:t>开展数据安全风险评估</w:t>
      </w:r>
      <w:r>
        <w:rPr>
          <w:rFonts w:hint="eastAsia"/>
          <w:color w:val="FF0000"/>
          <w:highlight w:val="none"/>
          <w:lang w:val="en-US" w:eastAsia="zh-CN"/>
        </w:rPr>
        <w:t>。通过信息调研识别数据、业务和信息系统、数据处理活动、安全措施、风险源等相关要素，然后从数据安全管理、数据处理活动、数据安全技术、个人信息保护等方面识别风险，最后梳理风险源清单，分析数据安全风险、视情况评价数据安全风险，并给出整改建议，出具《信息</w:t>
      </w:r>
      <w:r>
        <w:rPr>
          <w:rFonts w:hint="eastAsia"/>
          <w:color w:val="FF0000"/>
          <w:lang w:val="en-US" w:eastAsia="zh-CN"/>
        </w:rPr>
        <w:t>数据</w:t>
      </w:r>
      <w:r>
        <w:rPr>
          <w:rFonts w:hint="eastAsia"/>
          <w:color w:val="FF0000"/>
          <w:highlight w:val="none"/>
          <w:lang w:val="en-US" w:eastAsia="zh-CN"/>
        </w:rPr>
        <w:t>安全风险评估报告》。</w:t>
      </w:r>
    </w:p>
    <w:p w14:paraId="499F72E7">
      <w:pPr>
        <w:pStyle w:val="4"/>
        <w:bidi w:val="0"/>
      </w:pPr>
      <w:r>
        <w:rPr>
          <w:rFonts w:hint="eastAsia"/>
        </w:rPr>
        <w:t>二、依据及参考规范</w:t>
      </w:r>
    </w:p>
    <w:p w14:paraId="00622C43">
      <w:pPr>
        <w:bidi w:val="0"/>
        <w:rPr>
          <w:rFonts w:hint="eastAsia"/>
          <w:color w:val="FF0000"/>
          <w:lang w:val="en-US" w:eastAsia="zh-CN"/>
        </w:rPr>
      </w:pPr>
      <w:r>
        <w:rPr>
          <w:rFonts w:hint="eastAsia"/>
          <w:color w:val="FF0000"/>
          <w:lang w:val="en-US" w:eastAsia="zh-CN"/>
        </w:rPr>
        <w:t>1、《中华人民共和国网络安全法》；</w:t>
      </w:r>
    </w:p>
    <w:p w14:paraId="1494B1E9">
      <w:pPr>
        <w:bidi w:val="0"/>
        <w:rPr>
          <w:rFonts w:hint="eastAsia"/>
          <w:color w:val="FF0000"/>
          <w:lang w:val="en-US" w:eastAsia="zh-CN"/>
        </w:rPr>
      </w:pPr>
      <w:r>
        <w:rPr>
          <w:rFonts w:hint="eastAsia"/>
          <w:color w:val="FF0000"/>
          <w:lang w:val="en-US" w:eastAsia="zh-CN"/>
        </w:rPr>
        <w:t>2、《中华人民共和国数据安全法》；</w:t>
      </w:r>
    </w:p>
    <w:p w14:paraId="4C801D0E">
      <w:pPr>
        <w:bidi w:val="0"/>
        <w:rPr>
          <w:rFonts w:hint="eastAsia"/>
          <w:lang w:val="en-US" w:eastAsia="zh-CN"/>
        </w:rPr>
      </w:pPr>
      <w:r>
        <w:rPr>
          <w:rFonts w:hint="eastAsia"/>
          <w:color w:val="FF0000"/>
          <w:lang w:val="en-US" w:eastAsia="zh-CN"/>
        </w:rPr>
        <w:t>3、《信息安全技术 信息安全风险评估方法》（GB/T 20984-2022）；</w:t>
      </w:r>
    </w:p>
    <w:p w14:paraId="3538CFD3">
      <w:pPr>
        <w:bidi w:val="0"/>
        <w:rPr>
          <w:rFonts w:hint="eastAsia"/>
          <w:color w:val="FF0000"/>
          <w:lang w:val="en-US" w:eastAsia="zh-CN"/>
        </w:rPr>
      </w:pPr>
      <w:r>
        <w:rPr>
          <w:rFonts w:hint="eastAsia"/>
          <w:color w:val="FF0000"/>
          <w:lang w:val="en-US" w:eastAsia="zh-CN"/>
        </w:rPr>
        <w:t>4、《信息安全技术 网络数据处理安全要求》（GB/T 41479-2022）；</w:t>
      </w:r>
    </w:p>
    <w:p w14:paraId="56534636">
      <w:pPr>
        <w:bidi w:val="0"/>
        <w:rPr>
          <w:rFonts w:hint="eastAsia"/>
          <w:color w:val="FF0000"/>
          <w:lang w:val="en-US" w:eastAsia="zh-CN"/>
        </w:rPr>
      </w:pPr>
      <w:r>
        <w:rPr>
          <w:rFonts w:hint="eastAsia"/>
          <w:color w:val="FF0000"/>
          <w:lang w:val="en-US" w:eastAsia="zh-CN"/>
        </w:rPr>
        <w:t>5、《数据安全技术 数据安全风险评估方法》（GB/T 45577-2025）；</w:t>
      </w:r>
    </w:p>
    <w:p w14:paraId="049EE77D">
      <w:pPr>
        <w:bidi w:val="0"/>
        <w:rPr>
          <w:rFonts w:hint="eastAsia"/>
          <w:color w:val="FF0000"/>
          <w:lang w:val="en-US" w:eastAsia="zh-CN"/>
        </w:rPr>
      </w:pPr>
      <w:r>
        <w:rPr>
          <w:rFonts w:hint="eastAsia"/>
          <w:color w:val="FF0000"/>
          <w:lang w:val="en-US" w:eastAsia="zh-CN"/>
        </w:rPr>
        <w:t>6、《网络安全标准实践指南—网络数据安全风险评估实施指引》。</w:t>
      </w:r>
    </w:p>
    <w:p w14:paraId="5BA776F8">
      <w:pPr>
        <w:pStyle w:val="9"/>
        <w:spacing w:line="360" w:lineRule="auto"/>
        <w:jc w:val="both"/>
        <w:rPr>
          <w:rFonts w:hint="eastAsia"/>
          <w:lang w:val="en-US" w:eastAsia="zh-CN"/>
        </w:rPr>
      </w:pPr>
      <w:r>
        <w:rPr>
          <w:rFonts w:hint="eastAsia" w:ascii="宋体" w:hAnsi="宋体" w:eastAsia="宋体" w:cs="宋体"/>
          <w:kern w:val="2"/>
          <w:sz w:val="24"/>
          <w:szCs w:val="24"/>
        </w:rPr>
        <w:t>如有最新规定按最新规定执行。</w:t>
      </w:r>
    </w:p>
    <w:p w14:paraId="0BA5117C">
      <w:pPr>
        <w:pStyle w:val="4"/>
        <w:bidi w:val="0"/>
      </w:pPr>
      <w:r>
        <w:rPr>
          <w:rFonts w:hint="eastAsia"/>
        </w:rPr>
        <w:t xml:space="preserve">三、项目内容 </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1"/>
        <w:gridCol w:w="1950"/>
        <w:gridCol w:w="735"/>
        <w:gridCol w:w="839"/>
        <w:gridCol w:w="2166"/>
        <w:gridCol w:w="2166"/>
      </w:tblGrid>
      <w:tr w14:paraId="15D0F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tcPr>
          <w:p w14:paraId="569C7167">
            <w:pPr>
              <w:jc w:val="center"/>
            </w:pPr>
            <w:r>
              <w:t>序号</w:t>
            </w:r>
          </w:p>
        </w:tc>
        <w:tc>
          <w:tcPr>
            <w:tcW w:w="1950" w:type="dxa"/>
            <w:tcBorders>
              <w:top w:val="single" w:color="000000" w:sz="4" w:space="0"/>
              <w:left w:val="nil"/>
              <w:bottom w:val="single" w:color="000000" w:sz="4" w:space="0"/>
              <w:right w:val="single" w:color="000000" w:sz="4" w:space="0"/>
            </w:tcBorders>
          </w:tcPr>
          <w:p w14:paraId="4AB74E77">
            <w:pPr>
              <w:jc w:val="center"/>
            </w:pPr>
            <w:r>
              <w:t>服务内容</w:t>
            </w:r>
          </w:p>
        </w:tc>
        <w:tc>
          <w:tcPr>
            <w:tcW w:w="735" w:type="dxa"/>
            <w:tcBorders>
              <w:top w:val="single" w:color="000000" w:sz="4" w:space="0"/>
              <w:left w:val="nil"/>
              <w:bottom w:val="single" w:color="000000" w:sz="4" w:space="0"/>
              <w:right w:val="single" w:color="000000" w:sz="4" w:space="0"/>
            </w:tcBorders>
          </w:tcPr>
          <w:p w14:paraId="754A0118">
            <w:pPr>
              <w:jc w:val="center"/>
            </w:pPr>
            <w:r>
              <w:t>单位</w:t>
            </w:r>
          </w:p>
        </w:tc>
        <w:tc>
          <w:tcPr>
            <w:tcW w:w="839" w:type="dxa"/>
            <w:tcBorders>
              <w:top w:val="single" w:color="000000" w:sz="4" w:space="0"/>
              <w:left w:val="nil"/>
              <w:bottom w:val="single" w:color="000000" w:sz="4" w:space="0"/>
              <w:right w:val="single" w:color="000000" w:sz="4" w:space="0"/>
            </w:tcBorders>
          </w:tcPr>
          <w:p w14:paraId="3318FC11">
            <w:pPr>
              <w:jc w:val="center"/>
            </w:pPr>
            <w:r>
              <w:t>数量</w:t>
            </w:r>
          </w:p>
        </w:tc>
        <w:tc>
          <w:tcPr>
            <w:tcW w:w="2166" w:type="dxa"/>
            <w:tcBorders>
              <w:top w:val="single" w:color="000000" w:sz="4" w:space="0"/>
              <w:left w:val="nil"/>
              <w:bottom w:val="single" w:color="000000" w:sz="4" w:space="0"/>
              <w:right w:val="single" w:color="000000" w:sz="4" w:space="0"/>
            </w:tcBorders>
          </w:tcPr>
          <w:p w14:paraId="608AE5E0">
            <w:pPr>
              <w:jc w:val="center"/>
            </w:pPr>
            <w:r>
              <w:t>分项最高限价（元）</w:t>
            </w:r>
          </w:p>
        </w:tc>
        <w:tc>
          <w:tcPr>
            <w:tcW w:w="2166" w:type="dxa"/>
            <w:tcBorders>
              <w:top w:val="single" w:color="000000" w:sz="4" w:space="0"/>
              <w:left w:val="nil"/>
              <w:bottom w:val="single" w:color="000000" w:sz="4" w:space="0"/>
              <w:right w:val="single" w:color="000000" w:sz="4" w:space="0"/>
            </w:tcBorders>
          </w:tcPr>
          <w:p w14:paraId="0BF47360">
            <w:pPr>
              <w:jc w:val="center"/>
              <w:rPr>
                <w:rFonts w:hint="eastAsia" w:eastAsiaTheme="minorEastAsia"/>
                <w:lang w:eastAsia="zh-CN"/>
              </w:rPr>
            </w:pPr>
            <w:r>
              <w:rPr>
                <w:rFonts w:hint="eastAsia"/>
                <w:lang w:eastAsia="zh-CN"/>
              </w:rPr>
              <w:t>备注</w:t>
            </w:r>
          </w:p>
        </w:tc>
      </w:tr>
      <w:tr w14:paraId="528BE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1" w:type="dxa"/>
            <w:tcBorders>
              <w:top w:val="nil"/>
              <w:left w:val="single" w:color="000000" w:sz="4" w:space="0"/>
              <w:bottom w:val="nil"/>
              <w:right w:val="single" w:color="000000" w:sz="4" w:space="0"/>
            </w:tcBorders>
          </w:tcPr>
          <w:p w14:paraId="762F7A07">
            <w:pPr>
              <w:jc w:val="center"/>
              <w:rPr>
                <w:rFonts w:hint="eastAsia" w:eastAsiaTheme="minorEastAsia"/>
                <w:lang w:val="en-US" w:eastAsia="zh-CN"/>
              </w:rPr>
            </w:pPr>
            <w:r>
              <w:rPr>
                <w:rFonts w:hint="eastAsia"/>
                <w:lang w:val="en-US" w:eastAsia="zh-CN"/>
              </w:rPr>
              <w:t>1</w:t>
            </w:r>
          </w:p>
        </w:tc>
        <w:tc>
          <w:tcPr>
            <w:tcW w:w="1950" w:type="dxa"/>
            <w:tcBorders>
              <w:top w:val="nil"/>
              <w:left w:val="nil"/>
              <w:bottom w:val="nil"/>
              <w:right w:val="single" w:color="000000" w:sz="4" w:space="0"/>
            </w:tcBorders>
          </w:tcPr>
          <w:p w14:paraId="09FAC378">
            <w:pPr>
              <w:jc w:val="left"/>
              <w:rPr>
                <w:rFonts w:hint="eastAsia"/>
                <w:color w:val="FF0000"/>
              </w:rPr>
            </w:pPr>
            <w:r>
              <w:rPr>
                <w:rFonts w:hint="eastAsia"/>
                <w:color w:val="FF0000"/>
                <w:lang w:val="en-US" w:eastAsia="zh-CN"/>
              </w:rPr>
              <w:t>信息数据安全风险评估服务</w:t>
            </w:r>
          </w:p>
        </w:tc>
        <w:tc>
          <w:tcPr>
            <w:tcW w:w="735" w:type="dxa"/>
            <w:tcBorders>
              <w:top w:val="nil"/>
              <w:left w:val="nil"/>
              <w:bottom w:val="nil"/>
              <w:right w:val="single" w:color="000000" w:sz="4" w:space="0"/>
            </w:tcBorders>
            <w:shd w:val="clear" w:color="auto" w:fill="auto"/>
            <w:vAlign w:val="top"/>
          </w:tcPr>
          <w:p w14:paraId="7DB53CEF">
            <w:pPr>
              <w:jc w:val="center"/>
              <w:rPr>
                <w:rFonts w:asciiTheme="minorHAnsi" w:hAnsiTheme="minorHAnsi" w:eastAsiaTheme="minorEastAsia" w:cstheme="minorBidi"/>
                <w:color w:val="FF0000"/>
                <w:kern w:val="2"/>
                <w:sz w:val="21"/>
                <w:szCs w:val="24"/>
                <w:lang w:val="en-US" w:eastAsia="zh-CN" w:bidi="ar-SA"/>
              </w:rPr>
            </w:pPr>
            <w:r>
              <w:rPr>
                <w:color w:val="FF0000"/>
              </w:rPr>
              <w:t>项</w:t>
            </w:r>
          </w:p>
        </w:tc>
        <w:tc>
          <w:tcPr>
            <w:tcW w:w="839" w:type="dxa"/>
            <w:tcBorders>
              <w:top w:val="nil"/>
              <w:left w:val="nil"/>
              <w:bottom w:val="nil"/>
              <w:right w:val="single" w:color="000000" w:sz="4" w:space="0"/>
            </w:tcBorders>
            <w:shd w:val="clear" w:color="auto" w:fill="auto"/>
            <w:vAlign w:val="top"/>
          </w:tcPr>
          <w:p w14:paraId="2D0FF33C">
            <w:pPr>
              <w:jc w:val="center"/>
              <w:rPr>
                <w:rFonts w:hint="eastAsia" w:asciiTheme="minorHAnsi" w:hAnsiTheme="minorHAnsi" w:eastAsiaTheme="minorEastAsia" w:cstheme="minorBidi"/>
                <w:color w:val="FF0000"/>
                <w:kern w:val="2"/>
                <w:sz w:val="21"/>
                <w:szCs w:val="24"/>
                <w:lang w:val="en-US" w:eastAsia="zh-CN" w:bidi="ar-SA"/>
              </w:rPr>
            </w:pPr>
            <w:r>
              <w:rPr>
                <w:rFonts w:hint="eastAsia"/>
                <w:color w:val="FF0000"/>
                <w:lang w:val="en-US" w:eastAsia="zh-CN"/>
              </w:rPr>
              <w:t>2年</w:t>
            </w:r>
          </w:p>
        </w:tc>
        <w:tc>
          <w:tcPr>
            <w:tcW w:w="2166" w:type="dxa"/>
            <w:tcBorders>
              <w:top w:val="nil"/>
              <w:left w:val="nil"/>
              <w:bottom w:val="nil"/>
              <w:right w:val="single" w:color="000000" w:sz="4" w:space="0"/>
            </w:tcBorders>
            <w:shd w:val="clear" w:color="auto" w:fill="auto"/>
            <w:vAlign w:val="top"/>
          </w:tcPr>
          <w:p w14:paraId="3635A224">
            <w:pPr>
              <w:jc w:val="center"/>
              <w:rPr>
                <w:rFonts w:hint="eastAsia" w:asciiTheme="minorHAnsi" w:hAnsiTheme="minorHAnsi" w:eastAsiaTheme="minorEastAsia" w:cstheme="minorBidi"/>
                <w:color w:val="FF0000"/>
                <w:kern w:val="2"/>
                <w:sz w:val="21"/>
                <w:szCs w:val="24"/>
                <w:highlight w:val="none"/>
                <w:lang w:val="en-US" w:eastAsia="zh-CN" w:bidi="ar-SA"/>
              </w:rPr>
            </w:pPr>
            <w:r>
              <w:rPr>
                <w:rFonts w:hint="eastAsia"/>
                <w:color w:val="FF0000"/>
                <w:highlight w:val="none"/>
              </w:rPr>
              <w:t>XXX</w:t>
            </w:r>
          </w:p>
        </w:tc>
        <w:tc>
          <w:tcPr>
            <w:tcW w:w="2166" w:type="dxa"/>
            <w:tcBorders>
              <w:top w:val="nil"/>
              <w:left w:val="nil"/>
              <w:bottom w:val="nil"/>
              <w:right w:val="single" w:color="000000" w:sz="4" w:space="0"/>
            </w:tcBorders>
            <w:shd w:val="clear" w:color="auto" w:fill="auto"/>
            <w:vAlign w:val="top"/>
          </w:tcPr>
          <w:p w14:paraId="222730FE">
            <w:pPr>
              <w:jc w:val="center"/>
              <w:rPr>
                <w:rFonts w:hint="eastAsia" w:asciiTheme="minorHAnsi" w:hAnsiTheme="minorHAnsi" w:eastAsiaTheme="minorEastAsia" w:cstheme="minorBidi"/>
                <w:color w:val="FF0000"/>
                <w:kern w:val="2"/>
                <w:sz w:val="21"/>
                <w:szCs w:val="24"/>
                <w:highlight w:val="none"/>
                <w:lang w:val="en-US" w:eastAsia="zh-CN" w:bidi="ar-SA"/>
              </w:rPr>
            </w:pPr>
            <w:r>
              <w:rPr>
                <w:rFonts w:hint="eastAsia"/>
                <w:color w:val="FF0000"/>
                <w:highlight w:val="none"/>
                <w:lang w:val="en-US" w:eastAsia="zh-CN"/>
              </w:rPr>
              <w:t>每年做一次评估，出具一份报告</w:t>
            </w:r>
          </w:p>
        </w:tc>
      </w:tr>
    </w:tbl>
    <w:p w14:paraId="163DCD91">
      <w:r>
        <w:t>★供应商须对服务内容</w:t>
      </w:r>
      <w:r>
        <w:rPr>
          <w:rFonts w:hint="eastAsia"/>
        </w:rPr>
        <w:t>进行</w:t>
      </w:r>
      <w:r>
        <w:t>报价，报价不得超过最高限价。</w:t>
      </w:r>
    </w:p>
    <w:p w14:paraId="64861E6A">
      <w:pPr>
        <w:pStyle w:val="4"/>
        <w:bidi w:val="0"/>
      </w:pPr>
      <w:bookmarkStart w:id="0" w:name="_Hlk170996640"/>
      <w:r>
        <w:rPr>
          <w:rFonts w:hint="eastAsia"/>
          <w:lang w:eastAsia="zh-CN"/>
        </w:rPr>
        <w:t>四</w:t>
      </w:r>
      <w:r>
        <w:rPr>
          <w:rFonts w:hint="eastAsia"/>
        </w:rPr>
        <w:t>、服务工具要求</w:t>
      </w:r>
    </w:p>
    <w:p w14:paraId="674DC9D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Cs w:val="22"/>
          <w14:ligatures w14:val="standardContextual"/>
        </w:rPr>
      </w:pPr>
      <w:r>
        <w:rPr>
          <w:rFonts w:hint="eastAsia" w:ascii="宋体" w:hAnsi="宋体" w:eastAsia="宋体" w:cs="Times New Roman"/>
          <w:szCs w:val="22"/>
          <w14:ligatures w14:val="standardContextual"/>
        </w:rPr>
        <w:t>该服务工具产品（软、硬件及备件）需由投标方自行配备，不包含在本项目采购范围内。成交供应商必须保证所使用的所有工具和软件不会产生所有权和知识产权纠纷，并保证工具和软件的可用性和可靠性。由此产生的一切责任由成交供应商负完全责任。投标时提供</w:t>
      </w:r>
      <w:r>
        <w:rPr>
          <w:rFonts w:hint="eastAsia" w:ascii="宋体" w:hAnsi="宋体" w:eastAsia="宋体" w:cs="Times New Roman"/>
          <w:szCs w:val="22"/>
          <w:lang w:eastAsia="zh-CN"/>
          <w14:ligatures w14:val="standardContextual"/>
        </w:rPr>
        <w:t>工具</w:t>
      </w:r>
      <w:r>
        <w:rPr>
          <w:rFonts w:hint="eastAsia" w:ascii="宋体" w:hAnsi="宋体" w:eastAsia="宋体" w:cs="Times New Roman"/>
          <w:szCs w:val="22"/>
          <w14:ligatures w14:val="standardContextual"/>
        </w:rPr>
        <w:t>原厂授权书并加盖</w:t>
      </w:r>
      <w:r>
        <w:rPr>
          <w:rFonts w:hint="eastAsia" w:ascii="宋体" w:hAnsi="宋体" w:eastAsia="宋体" w:cs="Times New Roman"/>
          <w:szCs w:val="22"/>
          <w:lang w:eastAsia="zh-CN"/>
          <w14:ligatures w14:val="standardContextual"/>
        </w:rPr>
        <w:t>原厂</w:t>
      </w:r>
      <w:r>
        <w:rPr>
          <w:rFonts w:hint="eastAsia" w:ascii="宋体" w:hAnsi="宋体" w:eastAsia="宋体" w:cs="Times New Roman"/>
          <w:szCs w:val="22"/>
          <w14:ligatures w14:val="standardContextual"/>
        </w:rPr>
        <w:t>公章，参数要求如下：</w:t>
      </w:r>
    </w:p>
    <w:p w14:paraId="0E61456D">
      <w:pPr>
        <w:pStyle w:val="6"/>
        <w:bidi w:val="0"/>
      </w:pPr>
      <w:r>
        <w:rPr>
          <w:rFonts w:hint="eastAsia"/>
        </w:rPr>
        <w:t>1、远程安全扫描系统</w:t>
      </w:r>
    </w:p>
    <w:p w14:paraId="2C3DD6A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kern w:val="2"/>
          <w:sz w:val="21"/>
          <w:szCs w:val="22"/>
          <w:lang w:val="en-US" w:eastAsia="zh-CN"/>
          <w14:ligatures w14:val="standardContextual"/>
        </w:rPr>
        <w:t>系统应集成系统扫描、应用扫描、被动扫描、数据库扫描、口令猜解、基线核查、镜像扫描、移动扫描检测于一体。</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2527C30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2</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支持ssh密钥登录到主机扫描</w:t>
      </w:r>
      <w:r>
        <w:rPr>
          <w:rFonts w:hint="eastAsia" w:ascii="宋体" w:hAnsi="宋体" w:eastAsia="宋体" w:cs="Times New Roman"/>
          <w:color w:val="auto"/>
          <w:sz w:val="21"/>
          <w:szCs w:val="22"/>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21BF9C0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3</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系统应支持syslog、邮件、页面告警、短信告警、kafk告警、webhook告警，包括飞书bot等告警方式</w:t>
      </w:r>
      <w:r>
        <w:rPr>
          <w:rFonts w:hint="eastAsia" w:ascii="宋体" w:hAnsi="宋体" w:eastAsia="宋体" w:cs="Times New Roman"/>
          <w:color w:val="auto"/>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42AE01ED">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4</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系统应支持在漏洞库升级完成后，列举出受新漏洞影响的资产进行资产漏洞预警。</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3A116AF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5</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系统应支持扫描结果报表对漏洞数据聚合，同一个组件有多个漏洞对应不同的修复版本时，可以在报表中展示“建议升级的最小安全版本”，无须挨个漏洞查看。在单主机报表的安装软件信息里面查看。</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514CB29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6</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系统应支持针对指定IP段，同时一键下发系统扫描、WEB扫描、弱口令扫描任务，其中WEB扫描能够自动发现该网段内的在线网站并开展扫描；弱口令扫描能自动发现该网段IP开放服务并自动开展弱口令扫描</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72AF2EB0">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7</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系统漏洞库数应大于400000条，所有漏洞支持通过多种维度对漏洞进行检索，包括：CVE、Bugtraq ID、CNCVE、CNVD 、CNNVD、MS ID 编号、危险等级、漏洞名称、是否使用危险插件、漏洞发布时间、CVSS、影响服务、影响组件、威胁类型、POC维度等信息</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1E5FFC1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 w:val="21"/>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8</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kern w:val="2"/>
          <w:sz w:val="21"/>
          <w:szCs w:val="22"/>
          <w14:ligatures w14:val="standardContextual"/>
        </w:rPr>
        <w:t>系统应支持多个相关安全标准，包括但不限于网络安全等级保护2.0（第三、四级）、南网网络安全合规基线技术规范</w:t>
      </w:r>
      <w:r>
        <w:rPr>
          <w:rFonts w:hint="eastAsia" w:ascii="宋体" w:hAnsi="宋体" w:eastAsia="宋体" w:cs="Times New Roman"/>
          <w:color w:val="auto"/>
          <w:kern w:val="2"/>
          <w:sz w:val="21"/>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3576432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14:ligatures w14:val="standardContextual"/>
        </w:rPr>
      </w:pP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Cs w:val="22"/>
          <w:lang w:val="en-US" w:eastAsia="zh-CN"/>
          <w14:ligatures w14:val="standardContextual"/>
        </w:rPr>
        <w:t>9</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系统应支持自定义POC，便于用户自行编写符合其需求的POC代码。</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7A23D60B">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szCs w:val="22"/>
          <w:lang w:val="en-US" w:eastAsia="zh-CN"/>
          <w14:ligatures w14:val="standardContextual"/>
        </w:rPr>
        <w:t>0</w:t>
      </w:r>
      <w:r>
        <w:rPr>
          <w:rFonts w:hint="eastAsia" w:ascii="宋体" w:hAnsi="宋体" w:eastAsia="宋体" w:cs="Times New Roman"/>
          <w:color w:val="auto"/>
          <w:szCs w:val="22"/>
          <w14:ligatures w14:val="standardContextual"/>
        </w:rPr>
        <w:t>）▲</w:t>
      </w:r>
      <w:r>
        <w:rPr>
          <w:rFonts w:hint="eastAsia" w:ascii="宋体" w:hAnsi="宋体" w:eastAsia="宋体" w:cs="Times New Roman"/>
          <w:color w:val="auto"/>
          <w:sz w:val="21"/>
          <w:szCs w:val="22"/>
          <w14:ligatures w14:val="standardContextual"/>
        </w:rPr>
        <w:t>支持反连平台，用于辅助发现无回显命令执行漏洞，可在页面配置反连平台。</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1BB88001">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color w:val="auto"/>
          <w:szCs w:val="22"/>
          <w:lang w:eastAsia="zh-CN"/>
          <w14:ligatures w14:val="standardContextual"/>
        </w:rPr>
      </w:pPr>
      <w:r>
        <w:rPr>
          <w:rFonts w:hint="eastAsia" w:ascii="宋体" w:hAnsi="宋体" w:eastAsia="宋体" w:cs="Times New Roman"/>
          <w:color w:val="auto"/>
          <w:szCs w:val="22"/>
          <w14:ligatures w14:val="standardContextual"/>
        </w:rPr>
        <w:t>（1</w:t>
      </w:r>
      <w:r>
        <w:rPr>
          <w:rFonts w:hint="eastAsia" w:ascii="宋体" w:hAnsi="宋体" w:eastAsia="宋体" w:cs="Times New Roman"/>
          <w:color w:val="auto"/>
          <w:szCs w:val="22"/>
          <w:lang w:val="en-US" w:eastAsia="zh-CN"/>
          <w14:ligatures w14:val="standardContextual"/>
        </w:rPr>
        <w:t>1</w:t>
      </w:r>
      <w:r>
        <w:rPr>
          <w:rFonts w:hint="eastAsia" w:ascii="宋体" w:hAnsi="宋体" w:eastAsia="宋体" w:cs="Times New Roman"/>
          <w:color w:val="auto"/>
          <w:szCs w:val="22"/>
          <w14:ligatures w14:val="standardContextual"/>
        </w:rPr>
        <w:t>）▲系统应支持国产数据库包括：华为GaussDB、达梦、人大金仓、南大通用、神通大型、SinoDB(星瑞格)等</w:t>
      </w:r>
      <w:r>
        <w:rPr>
          <w:rFonts w:hint="eastAsia" w:ascii="宋体" w:hAnsi="宋体" w:eastAsia="宋体" w:cs="Times New Roman"/>
          <w:color w:val="auto"/>
          <w:szCs w:val="22"/>
          <w:lang w:eastAsia="zh-CN"/>
          <w14:ligatures w14:val="standardContextual"/>
        </w:rPr>
        <w:t>。</w:t>
      </w:r>
      <w:r>
        <w:rPr>
          <w:color w:val="auto"/>
        </w:rPr>
        <w:fldChar w:fldCharType="begin"/>
      </w:r>
      <w:r>
        <w:rPr>
          <w:color w:val="auto"/>
        </w:rPr>
        <w:instrText xml:space="preserve"> HYPERLINK \l "_多级部门管理" </w:instrText>
      </w:r>
      <w:r>
        <w:rPr>
          <w:color w:val="auto"/>
        </w:rPr>
        <w:fldChar w:fldCharType="separate"/>
      </w:r>
      <w:r>
        <w:rPr>
          <w:rFonts w:hint="eastAsia" w:ascii="宋体" w:hAnsi="宋体" w:eastAsia="宋体" w:cs="Times New Roman"/>
          <w:color w:val="auto"/>
          <w:szCs w:val="22"/>
          <w14:ligatures w14:val="standardContextual"/>
        </w:rPr>
        <w:t>（需提供相关截图证明并加盖原厂公章）</w:t>
      </w:r>
      <w:r>
        <w:rPr>
          <w:rFonts w:hint="eastAsia" w:ascii="宋体" w:hAnsi="宋体" w:eastAsia="宋体" w:cs="Times New Roman"/>
          <w:color w:val="auto"/>
          <w:szCs w:val="22"/>
          <w14:ligatures w14:val="standardContextual"/>
        </w:rPr>
        <w:fldChar w:fldCharType="end"/>
      </w:r>
    </w:p>
    <w:p w14:paraId="78EFE0AA">
      <w:pPr>
        <w:pStyle w:val="6"/>
        <w:bidi w:val="0"/>
        <w:rPr>
          <w:rFonts w:hint="eastAsia"/>
          <w:lang w:val="en-US" w:eastAsia="zh-CN"/>
        </w:rPr>
      </w:pPr>
      <w:r>
        <w:rPr>
          <w:rFonts w:hint="eastAsia"/>
          <w:lang w:val="en-US" w:eastAsia="zh-CN"/>
        </w:rPr>
        <w:t>2、管理系统</w:t>
      </w:r>
    </w:p>
    <w:p w14:paraId="68F1B5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1</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▲合规成果大屏展示</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\l "_多级部门管理"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eastAsiaTheme="minorEastAsia" w:cstheme="minorEastAsia"/>
          <w:color w:val="auto"/>
          <w:sz w:val="21"/>
          <w:szCs w:val="21"/>
          <w:highlight w:val="none"/>
          <w:lang w:val="en-US" w:eastAsia="zh-CN"/>
        </w:rPr>
        <w:fldChar w:fldCharType="end"/>
      </w:r>
    </w:p>
    <w:p w14:paraId="76898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A.</w:t>
      </w:r>
      <w:r>
        <w:rPr>
          <w:rFonts w:hint="eastAsia" w:asciiTheme="minorEastAsia" w:hAnsiTheme="minorEastAsia" w:eastAsiaTheme="minorEastAsia" w:cstheme="minorEastAsia"/>
          <w:color w:val="auto"/>
          <w:sz w:val="21"/>
          <w:szCs w:val="21"/>
          <w:highlight w:val="none"/>
          <w:lang w:val="en-US" w:eastAsia="zh-CN"/>
        </w:rPr>
        <w:t>合规总体态势(合规系统数量、分数走势与排名、遗留问题、合规工作进度、临期监测、整改跟踪、合规动态等)。</w:t>
      </w:r>
    </w:p>
    <w:p w14:paraId="57099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lang w:val="en-US" w:eastAsia="zh-CN"/>
        </w:rPr>
        <w:t>本单位合规管理动作统计(钓鱼演练、漏洞管理、弱口令扫描、教育培训、合规检测、漏洞修复、组织架构、规章制度、合规自查等)。</w:t>
      </w:r>
    </w:p>
    <w:p w14:paraId="30D4BA8A">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lang w:val="en-US" w:eastAsia="zh-CN"/>
        </w:rPr>
        <w:t>支持自定义大屏显示内容，并且能够对主菜单自定义显示名称与调整位置，以支持不同汇报或迎检场景的需求</w:t>
      </w:r>
      <w:r>
        <w:rPr>
          <w:rFonts w:hint="eastAsia" w:asciiTheme="minorEastAsia" w:hAnsiTheme="minorEastAsia" w:cstheme="minorEastAsia"/>
          <w:color w:val="auto"/>
          <w:sz w:val="21"/>
          <w:szCs w:val="21"/>
          <w:highlight w:val="none"/>
          <w:lang w:val="en-US" w:eastAsia="zh-CN"/>
        </w:rPr>
        <w:t>。</w:t>
      </w:r>
    </w:p>
    <w:p w14:paraId="4DB646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2</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等级保护、商用密码应用安全性评估、数据安全和供应链安全等合规领域的应用场景进行集中展示可视化呈现单位合规管理工作成果并针对相关安全问题进行风险闭环追踪，包含安全问题、风险等级问题来源、关联系统、发现日期、整改建议、整改状态、整改记录</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31228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3</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rPr>
        <w:t>支持等级保护工作相关信息与资料的集中管理与展示。包括定级备案信息、3-5年历史测评对比分析测评遗留问题分析、测评结论信息、测评报告关键页系统与设备相关信息等，并以图形、图表方式直观地进行展示</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391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14:ligatures w14:val="standardContextual"/>
        </w:rPr>
        <w:t>4</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lang w:val="en-US" w:eastAsia="zh-CN"/>
        </w:rPr>
        <w:t>多层级文档库构建，并直观展示文档父子关系，批量调用与临期文档预警，提升制度补充效率及迎检材料整理速度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13649D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14:ligatures w14:val="standardContextual"/>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cstheme="minorEastAsia"/>
          <w:color w:val="auto"/>
          <w:sz w:val="21"/>
          <w:szCs w:val="21"/>
          <w:lang w:val="en-US" w:eastAsia="zh-CN"/>
          <w14:ligatures w14:val="standardContextual"/>
        </w:rPr>
        <w:t>5</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highlight w:val="none"/>
          <w:lang w:val="en-US" w:eastAsia="zh-CN"/>
        </w:rPr>
        <w:t>支持在新建检查任务时，对检查指标和应答要求进行灵活配置，包括可以支持检查指标的上传和至少4类应答方式的配置。能够快捷引用已经通过工具下发检查的安全指标与下发范围</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0F37F83F">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cstheme="minorEastAsia"/>
          <w:color w:val="auto"/>
          <w:sz w:val="21"/>
          <w:szCs w:val="21"/>
          <w:lang w:val="en-US" w:eastAsia="zh-CN"/>
          <w14:ligatures w14:val="standardContextual"/>
        </w:rPr>
        <w:t>6</w:t>
      </w:r>
      <w:r>
        <w:rPr>
          <w:rFonts w:hint="eastAsia" w:asciiTheme="minorEastAsia" w:hAnsiTheme="minorEastAsia" w:eastAsiaTheme="minorEastAsia" w:cstheme="minorEastAsia"/>
          <w:color w:val="auto"/>
          <w:sz w:val="21"/>
          <w:szCs w:val="21"/>
          <w14:ligatures w14:val="standardContextual"/>
        </w:rPr>
        <w:t>）▲</w:t>
      </w:r>
      <w:r>
        <w:rPr>
          <w:rFonts w:hint="eastAsia" w:asciiTheme="minorEastAsia" w:hAnsiTheme="minorEastAsia" w:eastAsiaTheme="minorEastAsia" w:cstheme="minorEastAsia"/>
          <w:color w:val="auto"/>
          <w:sz w:val="21"/>
          <w:szCs w:val="21"/>
          <w:vertAlign w:val="baseline"/>
          <w:lang w:val="en-US" w:eastAsia="zh-CN"/>
        </w:rPr>
        <w:t>支持多级审核(如一线分析员初步定性、二线专家复审)，支持将多个类似事件进行合并，合并过程需能够保留相关事件的已完成任务;支持将告警追加入已提报的事件，将告警与事件进行关联;支持对事件进行升级或变更，可将事件升级或变更为其它运营脚本任务流程</w:t>
      </w:r>
      <w:r>
        <w:rPr>
          <w:rFonts w:hint="eastAsia" w:asciiTheme="minorEastAsia" w:hAnsiTheme="minorEastAsia" w:cstheme="minorEastAsia"/>
          <w:color w:val="auto"/>
          <w:sz w:val="21"/>
          <w:szCs w:val="21"/>
          <w:vertAlign w:val="baseline"/>
          <w:lang w:val="en-US" w:eastAsia="zh-CN"/>
        </w:rPr>
        <w:t>。</w:t>
      </w:r>
      <w:r>
        <w:rPr>
          <w:rFonts w:hint="eastAsia" w:asciiTheme="minorEastAsia" w:hAnsiTheme="minorEastAsia" w:eastAsiaTheme="minorEastAsia" w:cstheme="minorEastAsia"/>
          <w:color w:val="auto"/>
          <w:sz w:val="21"/>
          <w:szCs w:val="21"/>
          <w:highlight w:val="none"/>
          <w:lang w:val="en-US" w:eastAsia="zh-CN"/>
        </w:rPr>
        <w:t>（需提供相关截图证明</w:t>
      </w:r>
      <w:r>
        <w:rPr>
          <w:rFonts w:hint="eastAsia" w:asciiTheme="minorEastAsia" w:hAnsi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lang w:val="en-US" w:eastAsia="zh-CN"/>
        </w:rPr>
        <w:t>带有国家认可的检验检测机构出具的带CMA标识或CNAS标识的检测报告复印件</w:t>
      </w:r>
      <w:r>
        <w:rPr>
          <w:rFonts w:hint="eastAsia" w:asciiTheme="minorEastAsia" w:hAnsiTheme="minorEastAsia" w:cstheme="minorEastAsia"/>
          <w:color w:val="auto"/>
          <w:sz w:val="21"/>
          <w:szCs w:val="21"/>
          <w:highlight w:val="none"/>
          <w:lang w:val="en-US" w:eastAsia="zh-CN"/>
        </w:rPr>
        <w:t>）</w:t>
      </w:r>
    </w:p>
    <w:p w14:paraId="545897AF">
      <w:pPr>
        <w:pStyle w:val="4"/>
        <w:bidi w:val="0"/>
      </w:pPr>
      <w:r>
        <w:rPr>
          <w:rFonts w:hint="eastAsia"/>
          <w:lang w:eastAsia="zh-CN"/>
        </w:rPr>
        <w:t>五</w:t>
      </w:r>
      <w:r>
        <w:rPr>
          <w:rFonts w:hint="eastAsia"/>
        </w:rPr>
        <w:t>、</w:t>
      </w:r>
      <w:r>
        <w:t xml:space="preserve">交付报告要求 </w:t>
      </w:r>
    </w:p>
    <w:p w14:paraId="65BFE87E">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服务中产生的全部档案资料版权归</w:t>
      </w:r>
      <w:r>
        <w:rPr>
          <w:rFonts w:hint="eastAsia"/>
          <w:highlight w:val="none"/>
        </w:rPr>
        <w:t>化州市人民医院</w:t>
      </w:r>
      <w:r>
        <w:rPr>
          <w:rFonts w:hint="eastAsia" w:ascii="宋体" w:hAnsi="宋体" w:eastAsia="宋体" w:cs="Times New Roman"/>
          <w:szCs w:val="22"/>
          <w:highlight w:val="none"/>
          <w14:ligatures w14:val="standardContextual"/>
        </w:rPr>
        <w:t>所有，未经</w:t>
      </w:r>
      <w:r>
        <w:rPr>
          <w:rFonts w:hint="eastAsia"/>
          <w:highlight w:val="none"/>
        </w:rPr>
        <w:t>化州市人民医院</w:t>
      </w:r>
      <w:r>
        <w:rPr>
          <w:rFonts w:hint="eastAsia" w:ascii="宋体" w:hAnsi="宋体" w:eastAsia="宋体" w:cs="Times New Roman"/>
          <w:szCs w:val="22"/>
          <w:highlight w:val="none"/>
          <w14:ligatures w14:val="standardContextual"/>
        </w:rPr>
        <w:t>允许的情况下，不得以任何形式向第三方提供安全技术文档的全部或部分内容，交付文件包括但不限于如下成果和报告：</w:t>
      </w:r>
    </w:p>
    <w:p w14:paraId="0E471466">
      <w:pPr>
        <w:spacing w:line="360" w:lineRule="auto"/>
        <w:ind w:firstLine="420" w:firstLineChars="200"/>
        <w:rPr>
          <w:rFonts w:hint="eastAsia" w:ascii="宋体" w:hAnsi="宋体" w:eastAsia="宋体" w:cs="Times New Roman"/>
          <w:color w:val="FF0000"/>
          <w:szCs w:val="22"/>
          <w:highlight w:val="none"/>
          <w14:ligatures w14:val="standardContextual"/>
        </w:rPr>
      </w:pPr>
      <w:r>
        <w:rPr>
          <w:rFonts w:ascii="宋体" w:hAnsi="宋体" w:eastAsia="宋体" w:cs="Times New Roman"/>
          <w:color w:val="FF0000"/>
          <w:szCs w:val="22"/>
          <w:highlight w:val="none"/>
          <w14:ligatures w14:val="standardContextual"/>
        </w:rPr>
        <w:t>1、</w:t>
      </w:r>
      <w:r>
        <w:rPr>
          <w:rFonts w:hint="eastAsia"/>
          <w:color w:val="FF0000"/>
          <w:lang w:val="en-US" w:eastAsia="zh-CN"/>
        </w:rPr>
        <w:t>信息数据安全风险评估</w:t>
      </w:r>
      <w:r>
        <w:rPr>
          <w:rFonts w:ascii="宋体" w:hAnsi="宋体" w:eastAsia="宋体" w:cs="Times New Roman"/>
          <w:color w:val="FF0000"/>
          <w:szCs w:val="22"/>
          <w:highlight w:val="none"/>
          <w14:ligatures w14:val="standardContextual"/>
        </w:rPr>
        <w:t>实施计划</w:t>
      </w:r>
      <w:r>
        <w:rPr>
          <w:rFonts w:hint="eastAsia" w:ascii="宋体" w:hAnsi="宋体" w:eastAsia="宋体" w:cs="Times New Roman"/>
          <w:color w:val="FF0000"/>
          <w:szCs w:val="22"/>
          <w:highlight w:val="none"/>
          <w14:ligatures w14:val="standardContextual"/>
        </w:rPr>
        <w:t>方案</w:t>
      </w:r>
    </w:p>
    <w:p w14:paraId="4A6D91C4">
      <w:pPr>
        <w:spacing w:line="360" w:lineRule="auto"/>
        <w:ind w:firstLine="420" w:firstLineChars="200"/>
        <w:rPr>
          <w:rFonts w:hint="default" w:ascii="宋体" w:hAnsi="宋体" w:eastAsia="宋体" w:cs="Times New Roman"/>
          <w:color w:val="FF0000"/>
          <w:szCs w:val="22"/>
          <w:highlight w:val="none"/>
          <w:lang w:val="en-US" w:eastAsia="zh-CN"/>
          <w14:ligatures w14:val="standardContextual"/>
        </w:rPr>
      </w:pPr>
      <w:r>
        <w:rPr>
          <w:rFonts w:hint="eastAsia" w:ascii="宋体" w:hAnsi="宋体" w:eastAsia="宋体" w:cs="Times New Roman"/>
          <w:color w:val="FF0000"/>
          <w:szCs w:val="22"/>
          <w:highlight w:val="none"/>
          <w:lang w:val="en-US" w:eastAsia="zh-CN"/>
          <w14:ligatures w14:val="standardContextual"/>
        </w:rPr>
        <w:t>2、信息数据安全风险评估整改建议报告</w:t>
      </w:r>
    </w:p>
    <w:p w14:paraId="5F8DFB06">
      <w:pPr>
        <w:spacing w:line="360" w:lineRule="auto"/>
        <w:ind w:firstLine="420" w:firstLineChars="200"/>
        <w:rPr>
          <w:rFonts w:hint="default" w:ascii="宋体" w:hAnsi="宋体" w:eastAsia="宋体" w:cs="Times New Roman"/>
          <w:color w:val="FF0000"/>
          <w:szCs w:val="22"/>
          <w:highlight w:val="none"/>
          <w:lang w:val="en-US" w:eastAsia="zh-CN"/>
          <w14:ligatures w14:val="standardContextual"/>
        </w:rPr>
      </w:pPr>
      <w:r>
        <w:rPr>
          <w:rFonts w:hint="eastAsia" w:ascii="宋体" w:hAnsi="宋体" w:eastAsia="宋体" w:cs="Times New Roman"/>
          <w:color w:val="FF0000"/>
          <w:szCs w:val="22"/>
          <w:highlight w:val="none"/>
          <w:lang w:val="en-US" w:eastAsia="zh-CN"/>
          <w14:ligatures w14:val="standardContextual"/>
        </w:rPr>
        <w:t>3、信息数据安全风险评估报告</w:t>
      </w:r>
    </w:p>
    <w:p w14:paraId="219EDF88">
      <w:pPr>
        <w:bidi w:val="0"/>
        <w:ind w:firstLine="420" w:firstLineChars="200"/>
        <w:rPr>
          <w:rFonts w:hint="eastAsia" w:ascii="宋体" w:hAnsi="宋体" w:eastAsia="宋体" w:cs="Times New Roman"/>
          <w:szCs w:val="22"/>
          <w:highlight w:val="none"/>
          <w14:ligatures w14:val="standardContextual"/>
        </w:rPr>
      </w:pPr>
      <w:r>
        <w:rPr>
          <w:rFonts w:hint="eastAsia" w:ascii="宋体" w:hAnsi="宋体" w:eastAsia="宋体" w:cs="Times New Roman"/>
          <w:szCs w:val="22"/>
          <w:highlight w:val="none"/>
          <w:lang w:val="en-US" w:eastAsia="zh-CN"/>
          <w14:ligatures w14:val="standardContextual"/>
        </w:rPr>
        <w:t>4</w:t>
      </w:r>
      <w:r>
        <w:rPr>
          <w:rFonts w:ascii="宋体" w:hAnsi="宋体" w:eastAsia="宋体" w:cs="Times New Roman"/>
          <w:szCs w:val="22"/>
          <w:highlight w:val="none"/>
          <w14:ligatures w14:val="standardContextual"/>
        </w:rPr>
        <w:t>、其他</w:t>
      </w:r>
      <w:r>
        <w:rPr>
          <w:rFonts w:hint="eastAsia"/>
          <w:highlight w:val="none"/>
        </w:rPr>
        <w:t>化州市人民医院</w:t>
      </w:r>
      <w:r>
        <w:rPr>
          <w:rFonts w:ascii="宋体" w:hAnsi="宋体" w:eastAsia="宋体" w:cs="Times New Roman"/>
          <w:szCs w:val="22"/>
          <w:highlight w:val="none"/>
          <w14:ligatures w14:val="standardContextual"/>
        </w:rPr>
        <w:t>认为有必要的交付物</w:t>
      </w:r>
    </w:p>
    <w:p w14:paraId="4D56B867">
      <w:pPr>
        <w:spacing w:line="360" w:lineRule="auto"/>
        <w:ind w:firstLine="420" w:firstLineChars="200"/>
        <w:rPr>
          <w:rFonts w:hint="eastAsia" w:ascii="宋体" w:hAnsi="宋体" w:eastAsia="宋体" w:cs="Times New Roman"/>
          <w:color w:val="FF0000"/>
          <w:szCs w:val="22"/>
          <w:highlight w:val="none"/>
          <w:lang w:val="en-US" w:eastAsia="zh-CN"/>
          <w14:ligatures w14:val="standardContextual"/>
        </w:rPr>
      </w:pPr>
      <w:r>
        <w:rPr>
          <w:rFonts w:hint="eastAsia" w:ascii="宋体" w:hAnsi="宋体" w:eastAsia="宋体" w:cs="Times New Roman"/>
          <w:color w:val="FF0000"/>
          <w:szCs w:val="22"/>
          <w:highlight w:val="none"/>
          <w:lang w:val="en-US" w:eastAsia="zh-CN"/>
          <w14:ligatures w14:val="standardContextual"/>
        </w:rPr>
        <w:t>5、在本年度十月前完成数据安全风险评估报告</w:t>
      </w:r>
    </w:p>
    <w:p w14:paraId="20D253B6">
      <w:pPr>
        <w:bidi w:val="0"/>
        <w:ind w:firstLine="440" w:firstLineChars="200"/>
        <w:rPr>
          <w:rFonts w:hint="eastAsia" w:ascii="宋体" w:hAnsi="宋体" w:eastAsia="宋体" w:cs="Times New Roman"/>
          <w:sz w:val="22"/>
          <w:szCs w:val="24"/>
          <w:highlight w:val="none"/>
          <w:lang w:val="en-US" w:eastAsia="zh-CN"/>
          <w14:ligatures w14:val="standardContextual"/>
        </w:rPr>
      </w:pPr>
    </w:p>
    <w:p w14:paraId="66F22465">
      <w:p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eastAsia="zh-CN"/>
          <w14:ligatures w14:val="standardContextual"/>
        </w:rPr>
        <w:t>六</w:t>
      </w:r>
      <w:r>
        <w:rPr>
          <w:rFonts w:hint="eastAsia" w:ascii="宋体" w:hAnsi="宋体" w:eastAsia="宋体" w:cs="Times New Roman"/>
          <w:b/>
          <w:bCs/>
          <w:szCs w:val="22"/>
          <w:highlight w:val="none"/>
          <w14:ligatures w14:val="standardContextual"/>
        </w:rPr>
        <w:t>、安全保密要求</w:t>
      </w:r>
      <w:r>
        <w:rPr>
          <w:rFonts w:ascii="宋体" w:hAnsi="宋体" w:eastAsia="宋体" w:cs="Times New Roman"/>
          <w:b/>
          <w:bCs/>
          <w:szCs w:val="22"/>
          <w:highlight w:val="none"/>
          <w14:ligatures w14:val="standardContextual"/>
        </w:rPr>
        <w:t xml:space="preserve"> </w:t>
      </w:r>
    </w:p>
    <w:p w14:paraId="726B152C">
      <w:pPr>
        <w:spacing w:line="360" w:lineRule="auto"/>
        <w:ind w:firstLine="420" w:firstLineChars="200"/>
        <w:rPr>
          <w:rFonts w:ascii="宋体" w:hAnsi="宋体" w:eastAsia="宋体" w:cs="Times New Roman"/>
          <w:szCs w:val="22"/>
          <w:highlight w:val="none"/>
          <w14:ligatures w14:val="standardContextual"/>
        </w:rPr>
      </w:pPr>
      <w:r>
        <w:rPr>
          <w:rFonts w:hint="eastAsia" w:ascii="宋体" w:hAnsi="宋体" w:eastAsia="宋体" w:cs="Times New Roman"/>
          <w:szCs w:val="22"/>
          <w:highlight w:val="none"/>
          <w14:ligatures w14:val="standardContextual"/>
        </w:rPr>
        <w:t>中标人应当提供与</w:t>
      </w:r>
      <w:r>
        <w:rPr>
          <w:rFonts w:hint="eastAsia"/>
          <w:highlight w:val="none"/>
        </w:rPr>
        <w:t>化州市人民医院</w:t>
      </w:r>
      <w:r>
        <w:rPr>
          <w:rFonts w:hint="eastAsia" w:ascii="宋体" w:hAnsi="宋体" w:eastAsia="宋体" w:cs="Times New Roman"/>
          <w:szCs w:val="22"/>
          <w:highlight w:val="none"/>
          <w14:ligatures w14:val="standardContextual"/>
        </w:rPr>
        <w:t>的保密协议草拟本，并在中标后与</w:t>
      </w:r>
      <w:r>
        <w:rPr>
          <w:rFonts w:hint="eastAsia"/>
          <w:highlight w:val="none"/>
        </w:rPr>
        <w:t>化州市人民医院</w:t>
      </w:r>
      <w:r>
        <w:rPr>
          <w:rFonts w:hint="eastAsia" w:ascii="宋体" w:hAnsi="宋体" w:eastAsia="宋体" w:cs="Times New Roman"/>
          <w:szCs w:val="22"/>
          <w:highlight w:val="none"/>
          <w14:ligatures w14:val="standardContextual"/>
        </w:rPr>
        <w:t>签署保密协议，对于安全服务所获取的相关信息进行严格保密，未经授权不得泄露给任何单位和个人，不得利用此数据、信息进行任何侵害</w:t>
      </w:r>
      <w:r>
        <w:rPr>
          <w:rFonts w:hint="eastAsia"/>
          <w:highlight w:val="none"/>
        </w:rPr>
        <w:t>化州市人民医院</w:t>
      </w:r>
      <w:r>
        <w:rPr>
          <w:rFonts w:hint="eastAsia" w:ascii="宋体" w:hAnsi="宋体" w:eastAsia="宋体" w:cs="Times New Roman"/>
          <w:szCs w:val="22"/>
          <w:highlight w:val="none"/>
          <w14:ligatures w14:val="standardContextual"/>
        </w:rPr>
        <w:t>信息系统的行为。</w:t>
      </w:r>
    </w:p>
    <w:p w14:paraId="571A916B">
      <w:pPr>
        <w:numPr>
          <w:ilvl w:val="0"/>
          <w:numId w:val="0"/>
        </w:numPr>
        <w:spacing w:line="360" w:lineRule="auto"/>
        <w:outlineLvl w:val="0"/>
        <w:rPr>
          <w:rFonts w:ascii="宋体" w:hAnsi="宋体" w:eastAsia="宋体" w:cs="Times New Roman"/>
          <w:b/>
          <w:bCs/>
          <w:szCs w:val="22"/>
          <w:highlight w:val="none"/>
          <w14:ligatures w14:val="standardContextual"/>
        </w:rPr>
      </w:pPr>
      <w:r>
        <w:rPr>
          <w:rFonts w:hint="eastAsia" w:ascii="宋体" w:hAnsi="宋体" w:eastAsia="宋体" w:cs="Times New Roman"/>
          <w:b/>
          <w:bCs/>
          <w:szCs w:val="22"/>
          <w:highlight w:val="none"/>
          <w:lang w:eastAsia="zh-CN"/>
          <w14:ligatures w14:val="standardContextual"/>
        </w:rPr>
        <w:t>七、</w:t>
      </w:r>
      <w:r>
        <w:rPr>
          <w:rFonts w:hint="eastAsia" w:ascii="宋体" w:hAnsi="宋体" w:eastAsia="宋体" w:cs="Times New Roman"/>
          <w:b/>
          <w:bCs/>
          <w:szCs w:val="22"/>
          <w:highlight w:val="none"/>
          <w14:ligatures w14:val="standardContextual"/>
        </w:rPr>
        <w:t>评分表</w:t>
      </w:r>
    </w:p>
    <w:p w14:paraId="3149AC8F">
      <w:pPr>
        <w:spacing w:line="360" w:lineRule="auto"/>
        <w:rPr>
          <w:rFonts w:ascii="宋体" w:hAnsi="宋体" w:eastAsia="宋体" w:cs="宋体"/>
          <w:b/>
          <w:bCs/>
          <w:szCs w:val="22"/>
          <w14:ligatures w14:val="standardContextual"/>
        </w:rPr>
      </w:pPr>
      <w:r>
        <w:rPr>
          <w:rFonts w:hint="eastAsia" w:ascii="宋体" w:hAnsi="宋体" w:eastAsia="宋体" w:cs="宋体"/>
          <w:b/>
          <w:bCs/>
          <w:szCs w:val="22"/>
          <w14:ligatures w14:val="standardContextual"/>
        </w:rPr>
        <w:t>（一）评分分值（或权重）分配表：</w:t>
      </w:r>
    </w:p>
    <w:tbl>
      <w:tblPr>
        <w:tblStyle w:val="1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338"/>
        <w:gridCol w:w="4788"/>
      </w:tblGrid>
      <w:tr w14:paraId="4877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79" w:type="dxa"/>
            <w:tcBorders>
              <w:top w:val="single" w:color="auto" w:sz="4" w:space="0"/>
              <w:left w:val="single" w:color="auto" w:sz="4" w:space="0"/>
              <w:bottom w:val="single" w:color="auto" w:sz="4" w:space="0"/>
              <w:right w:val="single" w:color="auto" w:sz="2" w:space="0"/>
            </w:tcBorders>
            <w:shd w:val="clear" w:color="auto" w:fill="D9D9D9"/>
            <w:vAlign w:val="center"/>
          </w:tcPr>
          <w:p w14:paraId="726DC476">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序号</w:t>
            </w:r>
          </w:p>
        </w:tc>
        <w:tc>
          <w:tcPr>
            <w:tcW w:w="3338" w:type="dxa"/>
            <w:tcBorders>
              <w:top w:val="single" w:color="auto" w:sz="4" w:space="0"/>
              <w:left w:val="nil"/>
              <w:bottom w:val="single" w:color="auto" w:sz="4" w:space="0"/>
              <w:right w:val="single" w:color="auto" w:sz="4" w:space="0"/>
            </w:tcBorders>
            <w:shd w:val="clear" w:color="auto" w:fill="D9D9D9"/>
            <w:vAlign w:val="center"/>
          </w:tcPr>
          <w:p w14:paraId="7816CCE3">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评分项目</w:t>
            </w:r>
          </w:p>
        </w:tc>
        <w:tc>
          <w:tcPr>
            <w:tcW w:w="4788" w:type="dxa"/>
            <w:tcBorders>
              <w:top w:val="single" w:color="auto" w:sz="4" w:space="0"/>
              <w:left w:val="single" w:color="auto" w:sz="4" w:space="0"/>
              <w:bottom w:val="single" w:color="auto" w:sz="4" w:space="0"/>
              <w:right w:val="single" w:color="auto" w:sz="4" w:space="0"/>
            </w:tcBorders>
            <w:shd w:val="clear" w:color="auto" w:fill="D9D9D9"/>
            <w:vAlign w:val="center"/>
          </w:tcPr>
          <w:p w14:paraId="1DBF2192">
            <w:pPr>
              <w:spacing w:line="360" w:lineRule="auto"/>
              <w:jc w:val="center"/>
              <w:rPr>
                <w:rFonts w:ascii="宋体" w:hAnsi="宋体" w:eastAsia="宋体" w:cs="宋体"/>
                <w:bCs/>
                <w:szCs w:val="22"/>
                <w14:ligatures w14:val="standardContextual"/>
              </w:rPr>
            </w:pPr>
            <w:r>
              <w:rPr>
                <w:rFonts w:hint="eastAsia" w:ascii="宋体" w:hAnsi="宋体" w:eastAsia="宋体" w:cs="宋体"/>
                <w:bCs/>
                <w:szCs w:val="22"/>
                <w14:ligatures w14:val="standardContextual"/>
              </w:rPr>
              <w:t>分值</w:t>
            </w:r>
          </w:p>
        </w:tc>
      </w:tr>
      <w:tr w14:paraId="4DF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79" w:type="dxa"/>
            <w:tcBorders>
              <w:top w:val="single" w:color="auto" w:sz="4" w:space="0"/>
              <w:left w:val="single" w:color="auto" w:sz="4" w:space="0"/>
              <w:bottom w:val="single" w:color="auto" w:sz="4" w:space="0"/>
              <w:right w:val="single" w:color="auto" w:sz="2" w:space="0"/>
            </w:tcBorders>
            <w:vAlign w:val="center"/>
          </w:tcPr>
          <w:p w14:paraId="2DE848B2">
            <w:pPr>
              <w:spacing w:line="360" w:lineRule="auto"/>
              <w:jc w:val="center"/>
              <w:rPr>
                <w:rFonts w:ascii="宋体" w:hAnsi="宋体" w:eastAsia="宋体" w:cs="宋体"/>
                <w:szCs w:val="22"/>
                <w14:ligatures w14:val="standardContextual"/>
              </w:rPr>
            </w:pPr>
            <w:r>
              <w:rPr>
                <w:rFonts w:hint="eastAsia" w:ascii="宋体" w:hAnsi="宋体" w:eastAsia="宋体" w:cs="宋体"/>
                <w:szCs w:val="22"/>
                <w14:ligatures w14:val="standardContextual"/>
              </w:rPr>
              <w:t>1</w:t>
            </w:r>
          </w:p>
        </w:tc>
        <w:tc>
          <w:tcPr>
            <w:tcW w:w="3338" w:type="dxa"/>
            <w:tcBorders>
              <w:top w:val="single" w:color="auto" w:sz="4" w:space="0"/>
              <w:left w:val="nil"/>
              <w:bottom w:val="single" w:color="auto" w:sz="2" w:space="0"/>
              <w:right w:val="single" w:color="auto" w:sz="4" w:space="0"/>
            </w:tcBorders>
            <w:vAlign w:val="center"/>
          </w:tcPr>
          <w:p w14:paraId="4339A344">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eastAsia="zh-CN"/>
                <w14:ligatures w14:val="standardContextual"/>
              </w:rPr>
              <w:t>商务</w:t>
            </w:r>
            <w:r>
              <w:rPr>
                <w:rFonts w:hint="eastAsia" w:ascii="宋体" w:hAnsi="宋体" w:eastAsia="宋体" w:cs="宋体"/>
                <w:szCs w:val="22"/>
                <w14:ligatures w14:val="standardContextual"/>
              </w:rPr>
              <w:t>技术</w:t>
            </w:r>
            <w:r>
              <w:rPr>
                <w:rFonts w:hint="eastAsia" w:ascii="宋体" w:hAnsi="宋体" w:eastAsia="宋体" w:cs="宋体"/>
                <w:szCs w:val="22"/>
                <w:lang w:eastAsia="zh-CN"/>
                <w14:ligatures w14:val="standardContextual"/>
              </w:rPr>
              <w:t>部分</w:t>
            </w:r>
          </w:p>
        </w:tc>
        <w:tc>
          <w:tcPr>
            <w:tcW w:w="4788" w:type="dxa"/>
            <w:tcBorders>
              <w:top w:val="single" w:color="auto" w:sz="4" w:space="0"/>
              <w:left w:val="single" w:color="auto" w:sz="4" w:space="0"/>
              <w:bottom w:val="single" w:color="auto" w:sz="4" w:space="0"/>
              <w:right w:val="single" w:color="auto" w:sz="4" w:space="0"/>
            </w:tcBorders>
            <w:vAlign w:val="center"/>
          </w:tcPr>
          <w:p w14:paraId="15392FF0">
            <w:pPr>
              <w:spacing w:line="360" w:lineRule="auto"/>
              <w:jc w:val="center"/>
              <w:rPr>
                <w:rFonts w:hint="default" w:ascii="宋体" w:hAnsi="宋体" w:eastAsia="宋体" w:cs="宋体"/>
                <w:szCs w:val="22"/>
                <w:lang w:val="en-US" w:eastAsia="zh-CN"/>
                <w14:ligatures w14:val="standardContextual"/>
              </w:rPr>
            </w:pPr>
            <w:r>
              <w:rPr>
                <w:rFonts w:hint="eastAsia" w:ascii="宋体" w:hAnsi="宋体" w:eastAsia="宋体" w:cs="宋体"/>
                <w:szCs w:val="22"/>
                <w:lang w:val="en-US" w:eastAsia="zh-CN"/>
                <w14:ligatures w14:val="standardContextual"/>
              </w:rPr>
              <w:t>90</w:t>
            </w:r>
          </w:p>
        </w:tc>
      </w:tr>
      <w:tr w14:paraId="67FE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79" w:type="dxa"/>
            <w:tcBorders>
              <w:top w:val="single" w:color="auto" w:sz="4" w:space="0"/>
              <w:left w:val="single" w:color="auto" w:sz="4" w:space="0"/>
              <w:bottom w:val="single" w:color="auto" w:sz="4" w:space="0"/>
              <w:right w:val="single" w:color="auto" w:sz="2" w:space="0"/>
            </w:tcBorders>
            <w:vAlign w:val="center"/>
          </w:tcPr>
          <w:p w14:paraId="18D5FA86">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val="en-US" w:eastAsia="zh-CN"/>
                <w14:ligatures w14:val="standardContextual"/>
              </w:rPr>
              <w:t>2</w:t>
            </w:r>
          </w:p>
        </w:tc>
        <w:tc>
          <w:tcPr>
            <w:tcW w:w="3338" w:type="dxa"/>
            <w:tcBorders>
              <w:top w:val="single" w:color="auto" w:sz="4" w:space="0"/>
              <w:left w:val="nil"/>
              <w:bottom w:val="single" w:color="auto" w:sz="4" w:space="0"/>
              <w:right w:val="single" w:color="auto" w:sz="4" w:space="0"/>
            </w:tcBorders>
            <w:vAlign w:val="center"/>
          </w:tcPr>
          <w:p w14:paraId="63F8B607">
            <w:pPr>
              <w:spacing w:line="360" w:lineRule="auto"/>
              <w:jc w:val="center"/>
              <w:rPr>
                <w:rFonts w:hint="eastAsia" w:ascii="宋体" w:hAnsi="宋体" w:eastAsia="宋体" w:cs="宋体"/>
                <w:szCs w:val="22"/>
                <w:lang w:eastAsia="zh-CN"/>
                <w14:ligatures w14:val="standardContextual"/>
              </w:rPr>
            </w:pPr>
            <w:r>
              <w:rPr>
                <w:rFonts w:hint="eastAsia" w:ascii="宋体" w:hAnsi="宋体" w:eastAsia="宋体" w:cs="宋体"/>
                <w:szCs w:val="22"/>
                <w:lang w:eastAsia="zh-CN"/>
                <w14:ligatures w14:val="standardContextual"/>
              </w:rPr>
              <w:t>经济部分</w:t>
            </w:r>
          </w:p>
        </w:tc>
        <w:tc>
          <w:tcPr>
            <w:tcW w:w="4788" w:type="dxa"/>
            <w:tcBorders>
              <w:top w:val="single" w:color="auto" w:sz="4" w:space="0"/>
              <w:left w:val="single" w:color="auto" w:sz="4" w:space="0"/>
              <w:bottom w:val="single" w:color="auto" w:sz="4" w:space="0"/>
              <w:right w:val="single" w:color="auto" w:sz="4" w:space="0"/>
            </w:tcBorders>
            <w:vAlign w:val="center"/>
          </w:tcPr>
          <w:p w14:paraId="576C1218">
            <w:pPr>
              <w:spacing w:line="360" w:lineRule="auto"/>
              <w:jc w:val="center"/>
              <w:rPr>
                <w:rFonts w:hint="default" w:ascii="宋体" w:hAnsi="宋体" w:eastAsia="宋体" w:cs="宋体"/>
                <w:szCs w:val="22"/>
                <w:lang w:val="en-US" w:eastAsia="zh-CN"/>
                <w14:ligatures w14:val="standardContextual"/>
              </w:rPr>
            </w:pPr>
            <w:r>
              <w:rPr>
                <w:rFonts w:hint="eastAsia" w:ascii="宋体" w:hAnsi="宋体" w:eastAsia="宋体" w:cs="宋体"/>
                <w:szCs w:val="22"/>
                <w:lang w:val="en-US" w:eastAsia="zh-CN"/>
                <w14:ligatures w14:val="standardContextual"/>
              </w:rPr>
              <w:t>10</w:t>
            </w:r>
          </w:p>
        </w:tc>
      </w:tr>
      <w:tr w14:paraId="7F09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05" w:type="dxa"/>
            <w:gridSpan w:val="3"/>
            <w:tcBorders>
              <w:top w:val="single" w:color="auto" w:sz="4" w:space="0"/>
              <w:left w:val="single" w:color="auto" w:sz="4" w:space="0"/>
              <w:bottom w:val="single" w:color="auto" w:sz="4" w:space="0"/>
              <w:right w:val="single" w:color="auto" w:sz="4" w:space="0"/>
            </w:tcBorders>
            <w:vAlign w:val="center"/>
          </w:tcPr>
          <w:p w14:paraId="3C5409D0">
            <w:pPr>
              <w:spacing w:line="360" w:lineRule="auto"/>
              <w:rPr>
                <w:rFonts w:ascii="宋体" w:hAnsi="宋体" w:eastAsia="宋体" w:cs="宋体"/>
                <w:szCs w:val="22"/>
                <w14:ligatures w14:val="standardContextual"/>
              </w:rPr>
            </w:pPr>
            <w:r>
              <w:rPr>
                <w:rFonts w:hint="eastAsia" w:ascii="宋体" w:hAnsi="宋体" w:eastAsia="宋体" w:cs="宋体"/>
                <w:bCs/>
                <w:szCs w:val="22"/>
                <w14:ligatures w14:val="standardContextual"/>
              </w:rPr>
              <w:t>共计100分</w:t>
            </w:r>
          </w:p>
        </w:tc>
      </w:tr>
    </w:tbl>
    <w:p w14:paraId="48D78AB6">
      <w:pPr>
        <w:spacing w:line="240" w:lineRule="auto"/>
        <w:ind w:left="0"/>
        <w:jc w:val="left"/>
        <w:rPr>
          <w:rFonts w:hint="eastAsia" w:ascii="宋体" w:hAnsi="宋体" w:eastAsia="宋体" w:cs="宋体"/>
          <w:b/>
          <w:bCs/>
          <w:szCs w:val="22"/>
          <w14:ligatures w14:val="standardContextual"/>
        </w:rPr>
      </w:pPr>
    </w:p>
    <w:p w14:paraId="31FE2C8C">
      <w:pPr>
        <w:spacing w:line="360" w:lineRule="auto"/>
        <w:ind w:left="171"/>
        <w:jc w:val="left"/>
        <w:rPr>
          <w:rFonts w:hint="eastAsia" w:ascii="宋体" w:hAnsi="宋体" w:eastAsia="宋体" w:cs="宋体"/>
          <w:b/>
          <w:bCs/>
          <w:sz w:val="21"/>
          <w:szCs w:val="22"/>
          <w14:ligatures w14:val="standardContextual"/>
        </w:rPr>
      </w:pPr>
      <w:r>
        <w:rPr>
          <w:rFonts w:hint="eastAsia" w:ascii="宋体" w:hAnsi="宋体" w:eastAsia="宋体" w:cs="宋体"/>
          <w:b/>
          <w:bCs/>
          <w:szCs w:val="22"/>
          <w14:ligatures w14:val="standardContextual"/>
        </w:rPr>
        <w:t>（二）</w:t>
      </w:r>
      <w:r>
        <w:rPr>
          <w:rFonts w:hint="eastAsia" w:ascii="宋体" w:hAnsi="宋体" w:eastAsia="宋体" w:cs="宋体"/>
          <w:b/>
          <w:bCs/>
          <w:sz w:val="21"/>
          <w:szCs w:val="22"/>
          <w14:ligatures w14:val="standardContextual"/>
        </w:rPr>
        <w:t>综合评分表</w:t>
      </w:r>
    </w:p>
    <w:tbl>
      <w:tblPr>
        <w:tblStyle w:val="13"/>
        <w:tblW w:w="5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100"/>
        <w:gridCol w:w="592"/>
        <w:gridCol w:w="7081"/>
      </w:tblGrid>
      <w:tr w14:paraId="6C9C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538" w:type="pct"/>
            <w:vAlign w:val="center"/>
          </w:tcPr>
          <w:p w14:paraId="7EFFC994">
            <w:pPr>
              <w:spacing w:line="400" w:lineRule="exact"/>
              <w:jc w:val="center"/>
              <w:rPr>
                <w:sz w:val="21"/>
                <w:szCs w:val="21"/>
              </w:rPr>
            </w:pPr>
            <w:r>
              <w:rPr>
                <w:rFonts w:hint="eastAsia"/>
                <w:sz w:val="21"/>
                <w:szCs w:val="21"/>
              </w:rPr>
              <w:t>评审内容</w:t>
            </w:r>
          </w:p>
        </w:tc>
        <w:tc>
          <w:tcPr>
            <w:tcW w:w="559" w:type="pct"/>
            <w:vAlign w:val="center"/>
          </w:tcPr>
          <w:p w14:paraId="35E520FC">
            <w:pPr>
              <w:spacing w:line="400" w:lineRule="exact"/>
              <w:jc w:val="center"/>
              <w:rPr>
                <w:sz w:val="21"/>
                <w:szCs w:val="21"/>
              </w:rPr>
            </w:pPr>
            <w:r>
              <w:rPr>
                <w:rFonts w:hint="eastAsia"/>
                <w:sz w:val="21"/>
                <w:szCs w:val="21"/>
              </w:rPr>
              <w:t>评分分项内容</w:t>
            </w:r>
          </w:p>
        </w:tc>
        <w:tc>
          <w:tcPr>
            <w:tcW w:w="301" w:type="pct"/>
            <w:vAlign w:val="center"/>
          </w:tcPr>
          <w:p w14:paraId="322F44E1">
            <w:pPr>
              <w:spacing w:line="400" w:lineRule="exact"/>
              <w:jc w:val="center"/>
              <w:rPr>
                <w:sz w:val="21"/>
                <w:szCs w:val="21"/>
              </w:rPr>
            </w:pPr>
            <w:r>
              <w:rPr>
                <w:rFonts w:hint="eastAsia"/>
                <w:sz w:val="21"/>
                <w:szCs w:val="21"/>
              </w:rPr>
              <w:t>分值</w:t>
            </w:r>
          </w:p>
        </w:tc>
        <w:tc>
          <w:tcPr>
            <w:tcW w:w="3600" w:type="pct"/>
            <w:vAlign w:val="center"/>
          </w:tcPr>
          <w:p w14:paraId="5A7243B4">
            <w:pPr>
              <w:spacing w:line="400" w:lineRule="exact"/>
              <w:jc w:val="center"/>
              <w:rPr>
                <w:sz w:val="21"/>
                <w:szCs w:val="21"/>
              </w:rPr>
            </w:pPr>
            <w:r>
              <w:rPr>
                <w:rFonts w:hint="eastAsia"/>
                <w:sz w:val="21"/>
                <w:szCs w:val="21"/>
              </w:rPr>
              <w:t>评分说明</w:t>
            </w:r>
          </w:p>
        </w:tc>
      </w:tr>
      <w:tr w14:paraId="3240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38" w:type="pct"/>
            <w:vMerge w:val="restart"/>
            <w:vAlign w:val="center"/>
          </w:tcPr>
          <w:p w14:paraId="3F771AD0">
            <w:pPr>
              <w:spacing w:line="400" w:lineRule="exact"/>
              <w:jc w:val="center"/>
              <w:rPr>
                <w:sz w:val="21"/>
                <w:szCs w:val="21"/>
              </w:rPr>
            </w:pPr>
            <w:r>
              <w:rPr>
                <w:rFonts w:hint="eastAsia"/>
                <w:sz w:val="21"/>
                <w:szCs w:val="21"/>
              </w:rPr>
              <w:t>商务技术部分</w:t>
            </w:r>
          </w:p>
        </w:tc>
        <w:tc>
          <w:tcPr>
            <w:tcW w:w="559" w:type="pct"/>
            <w:vMerge w:val="restart"/>
            <w:vAlign w:val="center"/>
          </w:tcPr>
          <w:p w14:paraId="574C626C">
            <w:pPr>
              <w:spacing w:line="400" w:lineRule="exact"/>
              <w:jc w:val="center"/>
              <w:rPr>
                <w:sz w:val="21"/>
                <w:szCs w:val="21"/>
                <w14:ligatures w14:val="standardContextual"/>
              </w:rPr>
            </w:pPr>
            <w:r>
              <w:rPr>
                <w:rFonts w:hint="eastAsia"/>
                <w:sz w:val="21"/>
                <w:szCs w:val="21"/>
                <w14:ligatures w14:val="standardContextual"/>
              </w:rPr>
              <w:t>单位</w:t>
            </w:r>
            <w:r>
              <w:rPr>
                <w:rFonts w:hint="eastAsia"/>
                <w:sz w:val="21"/>
                <w:szCs w:val="21"/>
                <w:lang w:eastAsia="zh-CN"/>
                <w14:ligatures w14:val="standardContextual"/>
              </w:rPr>
              <w:t>资质</w:t>
            </w:r>
          </w:p>
        </w:tc>
        <w:tc>
          <w:tcPr>
            <w:tcW w:w="301" w:type="pct"/>
            <w:vMerge w:val="restart"/>
            <w:vAlign w:val="center"/>
          </w:tcPr>
          <w:p w14:paraId="2868A04E">
            <w:pPr>
              <w:spacing w:line="400" w:lineRule="exact"/>
              <w:jc w:val="center"/>
              <w:rPr>
                <w:rFonts w:hint="eastAsia" w:eastAsia="宋体"/>
                <w:sz w:val="21"/>
                <w:szCs w:val="21"/>
                <w:lang w:eastAsia="zh-CN"/>
                <w14:ligatures w14:val="standardContextual"/>
              </w:rPr>
            </w:pPr>
            <w:r>
              <w:rPr>
                <w:rFonts w:hint="eastAsia"/>
                <w:sz w:val="21"/>
                <w:szCs w:val="21"/>
                <w14:ligatures w14:val="standardContextual"/>
              </w:rPr>
              <w:t>1</w:t>
            </w:r>
            <w:r>
              <w:rPr>
                <w:rFonts w:hint="eastAsia"/>
                <w:sz w:val="21"/>
                <w:szCs w:val="21"/>
                <w:lang w:val="en-US" w:eastAsia="zh-CN"/>
                <w14:ligatures w14:val="standardContextual"/>
              </w:rPr>
              <w:t>6</w:t>
            </w:r>
          </w:p>
        </w:tc>
        <w:tc>
          <w:tcPr>
            <w:tcW w:w="3600" w:type="pct"/>
            <w:vAlign w:val="center"/>
          </w:tcPr>
          <w:p w14:paraId="50DA865C">
            <w:pPr>
              <w:spacing w:line="360" w:lineRule="auto"/>
              <w:jc w:val="both"/>
              <w:rPr>
                <w:rFonts w:hint="eastAsia"/>
                <w:sz w:val="21"/>
                <w:szCs w:val="21"/>
                <w14:ligatures w14:val="standardContextual"/>
              </w:rPr>
            </w:pPr>
            <w:r>
              <w:rPr>
                <w:rFonts w:hint="eastAsia"/>
                <w:sz w:val="21"/>
                <w:szCs w:val="21"/>
                <w14:ligatures w14:val="standardContextual"/>
              </w:rPr>
              <w:t>1、中国合格评定国家认可委员会检验机构认可证书（CNAS）；</w:t>
            </w:r>
          </w:p>
          <w:p w14:paraId="545562DE">
            <w:pPr>
              <w:pStyle w:val="19"/>
              <w:spacing w:line="360" w:lineRule="auto"/>
              <w:ind w:firstLine="0"/>
              <w:rPr>
                <w:rFonts w:hint="eastAsia" w:ascii="宋体" w:hAnsi="宋体" w:cs="宋体"/>
                <w:bCs w:val="0"/>
                <w:color w:val="auto"/>
                <w:spacing w:val="0"/>
                <w:kern w:val="0"/>
                <w:sz w:val="21"/>
                <w:szCs w:val="21"/>
                <w:lang w:bidi="zh-CN"/>
                <w14:ligatures w14:val="standardContextual"/>
              </w:rPr>
            </w:pPr>
            <w:r>
              <w:rPr>
                <w:rFonts w:hint="eastAsia" w:ascii="宋体" w:hAnsi="宋体" w:cs="宋体"/>
                <w:bCs w:val="0"/>
                <w:spacing w:val="0"/>
                <w:kern w:val="0"/>
                <w:sz w:val="21"/>
                <w:szCs w:val="21"/>
                <w:lang w:bidi="zh-CN"/>
                <w14:ligatures w14:val="standardContextual"/>
              </w:rPr>
              <w:t>2、</w:t>
            </w:r>
            <w:r>
              <w:rPr>
                <w:rFonts w:hint="eastAsia" w:ascii="宋体" w:hAnsi="宋体" w:cs="宋体"/>
                <w:bCs w:val="0"/>
                <w:color w:val="auto"/>
                <w:spacing w:val="0"/>
                <w:kern w:val="0"/>
                <w:sz w:val="21"/>
                <w:szCs w:val="21"/>
                <w:lang w:bidi="zh-CN"/>
                <w14:ligatures w14:val="standardContextual"/>
              </w:rPr>
              <w:t>检验检测机构资质认定证书</w:t>
            </w:r>
            <w:r>
              <w:rPr>
                <w:rFonts w:ascii="宋体" w:hAnsi="宋体" w:cs="宋体"/>
                <w:bCs w:val="0"/>
                <w:color w:val="auto"/>
                <w:spacing w:val="0"/>
                <w:kern w:val="0"/>
                <w:sz w:val="21"/>
                <w:szCs w:val="21"/>
                <w:lang w:bidi="zh-CN"/>
                <w14:ligatures w14:val="standardContextual"/>
              </w:rPr>
              <w:t>CMA（风险评估方向），需提供风险评估能力范围的附件证明</w:t>
            </w:r>
            <w:r>
              <w:rPr>
                <w:rFonts w:hint="eastAsia" w:ascii="宋体" w:hAnsi="宋体" w:cs="宋体"/>
                <w:bCs w:val="0"/>
                <w:color w:val="auto"/>
                <w:spacing w:val="0"/>
                <w:kern w:val="0"/>
                <w:sz w:val="21"/>
                <w:szCs w:val="21"/>
                <w:lang w:bidi="zh-CN"/>
                <w14:ligatures w14:val="standardContextual"/>
              </w:rPr>
              <w:t>；</w:t>
            </w:r>
          </w:p>
          <w:p w14:paraId="70FFBF62">
            <w:pPr>
              <w:numPr>
                <w:ilvl w:val="255"/>
                <w:numId w:val="0"/>
              </w:numPr>
              <w:spacing w:line="360" w:lineRule="auto"/>
              <w:rPr>
                <w:rFonts w:hint="eastAsia"/>
                <w:sz w:val="21"/>
                <w:szCs w:val="21"/>
                <w14:ligatures w14:val="standardContextual"/>
              </w:rPr>
            </w:pPr>
            <w:r>
              <w:rPr>
                <w:rFonts w:hint="eastAsia"/>
                <w:sz w:val="21"/>
                <w:szCs w:val="21"/>
                <w14:ligatures w14:val="standardContextual"/>
              </w:rPr>
              <w:t>3、中国通信企业协会通信网络安全服务能力评定证书（风险评估）；</w:t>
            </w:r>
          </w:p>
          <w:p w14:paraId="717F4330">
            <w:pPr>
              <w:pStyle w:val="19"/>
              <w:spacing w:line="360" w:lineRule="auto"/>
              <w:ind w:firstLine="0"/>
              <w:rPr>
                <w:rFonts w:hint="eastAsia" w:ascii="宋体" w:hAnsi="宋体" w:cs="宋体"/>
                <w:bCs w:val="0"/>
                <w:spacing w:val="0"/>
                <w:kern w:val="0"/>
                <w:sz w:val="21"/>
                <w:szCs w:val="21"/>
                <w:lang w:bidi="zh-CN"/>
                <w14:ligatures w14:val="standardContextual"/>
              </w:rPr>
            </w:pPr>
            <w:r>
              <w:rPr>
                <w:rFonts w:hint="eastAsia" w:ascii="宋体" w:hAnsi="宋体" w:cs="宋体"/>
                <w:bCs w:val="0"/>
                <w:spacing w:val="0"/>
                <w:kern w:val="0"/>
                <w:sz w:val="21"/>
                <w:szCs w:val="21"/>
                <w:lang w:bidi="zh-CN"/>
                <w14:ligatures w14:val="standardContextual"/>
              </w:rPr>
              <w:t>4、网络空间安全服务资质认证证书（应急响应）；</w:t>
            </w:r>
          </w:p>
          <w:p w14:paraId="5AB6B60E">
            <w:pPr>
              <w:pStyle w:val="9"/>
              <w:spacing w:line="360" w:lineRule="auto"/>
              <w:rPr>
                <w:rFonts w:hint="eastAsia" w:ascii="宋体" w:hAnsi="宋体" w:cs="宋体" w:eastAsiaTheme="minorEastAsia"/>
                <w:bCs w:val="0"/>
                <w:spacing w:val="0"/>
                <w:kern w:val="0"/>
                <w:sz w:val="21"/>
                <w:szCs w:val="21"/>
                <w:lang w:val="en-US" w:eastAsia="zh-CN" w:bidi="zh-CN"/>
                <w14:ligatures w14:val="standardContextual"/>
              </w:rPr>
            </w:pPr>
            <w:r>
              <w:rPr>
                <w:rFonts w:hint="eastAsia" w:ascii="宋体" w:hAnsi="宋体" w:cs="宋体" w:eastAsiaTheme="minorEastAsia"/>
                <w:bCs w:val="0"/>
                <w:spacing w:val="0"/>
                <w:kern w:val="0"/>
                <w:sz w:val="21"/>
                <w:szCs w:val="21"/>
                <w:lang w:val="en-US" w:eastAsia="zh-CN" w:bidi="zh-CN"/>
                <w14:ligatures w14:val="standardContextual"/>
              </w:rPr>
              <w:t>5、CCRC信息安全应急处理服务资质证书</w:t>
            </w:r>
            <w:r>
              <w:rPr>
                <w:rFonts w:hint="eastAsia" w:ascii="宋体" w:hAnsi="宋体" w:cs="宋体"/>
                <w:bCs w:val="0"/>
                <w:spacing w:val="0"/>
                <w:kern w:val="0"/>
                <w:sz w:val="21"/>
                <w:szCs w:val="21"/>
                <w:lang w:val="en-US" w:eastAsia="zh-CN" w:bidi="zh-CN"/>
                <w14:ligatures w14:val="standardContextual"/>
              </w:rPr>
              <w:t>；</w:t>
            </w:r>
          </w:p>
          <w:p w14:paraId="79AFF3E2">
            <w:pPr>
              <w:spacing w:line="360" w:lineRule="auto"/>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eastAsiaTheme="minorEastAsia"/>
                <w:bCs w:val="0"/>
                <w:spacing w:val="0"/>
                <w:kern w:val="0"/>
                <w:sz w:val="21"/>
                <w:szCs w:val="21"/>
                <w:lang w:val="en-US" w:eastAsia="zh-CN" w:bidi="zh-CN"/>
                <w14:ligatures w14:val="standardContextual"/>
              </w:rPr>
              <w:t>6、CCRC信息安全风险评估服务资质证书</w:t>
            </w:r>
            <w:r>
              <w:rPr>
                <w:rFonts w:hint="eastAsia" w:ascii="宋体" w:hAnsi="宋体" w:cs="宋体"/>
                <w:bCs w:val="0"/>
                <w:spacing w:val="0"/>
                <w:kern w:val="0"/>
                <w:sz w:val="21"/>
                <w:szCs w:val="21"/>
                <w:lang w:val="en-US" w:eastAsia="zh-CN" w:bidi="zh-CN"/>
                <w14:ligatures w14:val="standardContextual"/>
              </w:rPr>
              <w:t>；</w:t>
            </w:r>
          </w:p>
          <w:p w14:paraId="1464CD27">
            <w:pPr>
              <w:pStyle w:val="2"/>
              <w:rPr>
                <w:rFonts w:hint="eastAsia"/>
                <w:lang w:val="en-US" w:eastAsia="zh-CN"/>
              </w:rPr>
            </w:pPr>
            <w:r>
              <w:rPr>
                <w:rFonts w:hint="eastAsia" w:ascii="宋体" w:hAnsi="宋体" w:cs="宋体"/>
                <w:bCs w:val="0"/>
                <w:spacing w:val="0"/>
                <w:kern w:val="0"/>
                <w:sz w:val="21"/>
                <w:szCs w:val="21"/>
                <w:lang w:val="en-US" w:eastAsia="zh-CN" w:bidi="zh-CN"/>
                <w14:ligatures w14:val="standardContextual"/>
              </w:rPr>
              <w:t>7、</w:t>
            </w:r>
            <w:r>
              <w:rPr>
                <w:rFonts w:hint="eastAsia" w:ascii="宋体" w:hAnsi="宋体" w:cs="宋体"/>
                <w:bCs w:val="0"/>
                <w:color w:val="FF0000"/>
                <w:spacing w:val="0"/>
                <w:kern w:val="0"/>
                <w:sz w:val="21"/>
                <w:szCs w:val="21"/>
                <w:lang w:val="en-US" w:eastAsia="zh-CN" w:bidi="zh-CN"/>
                <w14:ligatures w14:val="standardContextual"/>
              </w:rPr>
              <w:t>网络数据安全风险评估机构证书</w:t>
            </w:r>
            <w:r>
              <w:rPr>
                <w:rFonts w:hint="eastAsia" w:ascii="宋体" w:hAnsi="宋体" w:cs="宋体"/>
                <w:bCs w:val="0"/>
                <w:spacing w:val="0"/>
                <w:kern w:val="0"/>
                <w:sz w:val="21"/>
                <w:szCs w:val="21"/>
                <w:lang w:val="en-US" w:eastAsia="zh-CN" w:bidi="zh-CN"/>
                <w14:ligatures w14:val="standardContextual"/>
              </w:rPr>
              <w:t>。</w:t>
            </w:r>
          </w:p>
          <w:p w14:paraId="55B55F9B">
            <w:pPr>
              <w:spacing w:line="360" w:lineRule="auto"/>
              <w:rPr>
                <w:rFonts w:hint="default" w:eastAsiaTheme="minorEastAsia"/>
                <w:sz w:val="21"/>
                <w:szCs w:val="21"/>
                <w:lang w:val="en-US" w:eastAsia="zh-CN"/>
                <w14:ligatures w14:val="standardContextual"/>
              </w:rPr>
            </w:pPr>
            <w:r>
              <w:rPr>
                <w:rFonts w:hint="eastAsia"/>
                <w:sz w:val="21"/>
                <w:szCs w:val="21"/>
                <w14:ligatures w14:val="standardContextual"/>
              </w:rPr>
              <w:t>以上满足全部</w:t>
            </w:r>
            <w:r>
              <w:rPr>
                <w:rFonts w:hint="eastAsia"/>
                <w:sz w:val="21"/>
                <w:szCs w:val="21"/>
                <w:lang w:val="en-US" w:eastAsia="zh-CN"/>
                <w14:ligatures w14:val="standardContextual"/>
              </w:rPr>
              <w:t>7</w:t>
            </w:r>
            <w:r>
              <w:rPr>
                <w:rFonts w:hint="eastAsia"/>
                <w:sz w:val="21"/>
                <w:szCs w:val="21"/>
                <w14:ligatures w14:val="standardContextual"/>
              </w:rPr>
              <w:t>项得</w:t>
            </w:r>
            <w:r>
              <w:rPr>
                <w:rFonts w:hint="eastAsia"/>
                <w:sz w:val="21"/>
                <w:szCs w:val="21"/>
                <w:lang w:val="en-US" w:eastAsia="zh-CN"/>
                <w14:ligatures w14:val="standardContextual"/>
              </w:rPr>
              <w:t>8</w:t>
            </w:r>
            <w:r>
              <w:rPr>
                <w:rFonts w:hint="eastAsia"/>
                <w:sz w:val="21"/>
                <w:szCs w:val="21"/>
                <w14:ligatures w14:val="standardContextual"/>
              </w:rPr>
              <w:t>分，</w:t>
            </w:r>
            <w:r>
              <w:rPr>
                <w:rFonts w:hint="eastAsia"/>
                <w:sz w:val="21"/>
                <w:szCs w:val="21"/>
                <w:lang w:eastAsia="zh-CN"/>
                <w14:ligatures w14:val="standardContextual"/>
              </w:rPr>
              <w:t>每少一项扣</w:t>
            </w:r>
            <w:r>
              <w:rPr>
                <w:rFonts w:hint="eastAsia"/>
                <w:sz w:val="21"/>
                <w:szCs w:val="21"/>
                <w:lang w:val="en-US" w:eastAsia="zh-CN"/>
                <w14:ligatures w14:val="standardContextual"/>
              </w:rPr>
              <w:t>2分，扣完为止。</w:t>
            </w:r>
          </w:p>
          <w:p w14:paraId="6A614FD6">
            <w:pPr>
              <w:pStyle w:val="19"/>
              <w:ind w:firstLine="0"/>
              <w:rPr>
                <w:rFonts w:hint="eastAsia" w:ascii="宋体" w:hAnsi="宋体" w:cs="宋体"/>
                <w:bCs w:val="0"/>
                <w:spacing w:val="0"/>
                <w:kern w:val="0"/>
                <w:sz w:val="21"/>
                <w:szCs w:val="21"/>
                <w:lang w:bidi="zh-CN"/>
                <w14:ligatures w14:val="standardContextual"/>
              </w:rPr>
            </w:pPr>
            <w:r>
              <w:rPr>
                <w:rFonts w:hint="eastAsia" w:ascii="宋体" w:hAnsi="宋体" w:cs="宋体"/>
                <w:b/>
                <w:bCs/>
                <w:spacing w:val="0"/>
                <w:kern w:val="0"/>
                <w:sz w:val="21"/>
                <w:szCs w:val="21"/>
                <w:lang w:bidi="zh-CN"/>
                <w14:ligatures w14:val="standardContextual"/>
              </w:rPr>
              <w:t>注：需提供相关证明材料复印件并加盖投标人公章。</w:t>
            </w:r>
          </w:p>
        </w:tc>
      </w:tr>
      <w:tr w14:paraId="69A1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538" w:type="pct"/>
            <w:vMerge w:val="continue"/>
            <w:vAlign w:val="center"/>
          </w:tcPr>
          <w:p w14:paraId="75FEF58E">
            <w:pPr>
              <w:spacing w:line="400" w:lineRule="exact"/>
              <w:jc w:val="center"/>
              <w:rPr>
                <w:sz w:val="21"/>
                <w:szCs w:val="21"/>
              </w:rPr>
            </w:pPr>
          </w:p>
        </w:tc>
        <w:tc>
          <w:tcPr>
            <w:tcW w:w="559" w:type="pct"/>
            <w:vMerge w:val="continue"/>
            <w:vAlign w:val="center"/>
          </w:tcPr>
          <w:p w14:paraId="511F360E">
            <w:pPr>
              <w:spacing w:line="400" w:lineRule="exact"/>
              <w:jc w:val="center"/>
              <w:rPr>
                <w:sz w:val="21"/>
                <w:szCs w:val="21"/>
              </w:rPr>
            </w:pPr>
          </w:p>
        </w:tc>
        <w:tc>
          <w:tcPr>
            <w:tcW w:w="301" w:type="pct"/>
            <w:vMerge w:val="continue"/>
            <w:vAlign w:val="center"/>
          </w:tcPr>
          <w:p w14:paraId="35699F76">
            <w:pPr>
              <w:spacing w:line="400" w:lineRule="exact"/>
              <w:jc w:val="center"/>
              <w:rPr>
                <w:sz w:val="21"/>
                <w:szCs w:val="21"/>
              </w:rPr>
            </w:pPr>
          </w:p>
        </w:tc>
        <w:tc>
          <w:tcPr>
            <w:tcW w:w="3600" w:type="pct"/>
            <w:vAlign w:val="center"/>
          </w:tcPr>
          <w:p w14:paraId="507DC20C">
            <w:pPr>
              <w:spacing w:line="400" w:lineRule="exact"/>
              <w:jc w:val="both"/>
              <w:rPr>
                <w:rFonts w:hint="eastAsia" w:eastAsiaTheme="minorEastAsia"/>
                <w:sz w:val="21"/>
                <w:szCs w:val="21"/>
                <w:lang w:eastAsia="zh-CN"/>
              </w:rPr>
            </w:pPr>
            <w:r>
              <w:rPr>
                <w:rFonts w:hint="eastAsia"/>
                <w:sz w:val="21"/>
                <w:szCs w:val="21"/>
                <w:lang w:val="en-US" w:eastAsia="zh-CN"/>
              </w:rPr>
              <w:t>1</w:t>
            </w:r>
            <w:r>
              <w:rPr>
                <w:rFonts w:hint="eastAsia"/>
                <w:sz w:val="21"/>
                <w:szCs w:val="21"/>
              </w:rPr>
              <w:t>、</w:t>
            </w:r>
            <w:r>
              <w:rPr>
                <w:sz w:val="21"/>
                <w:szCs w:val="21"/>
              </w:rPr>
              <w:t>ISO27001信息安全管理体系认证证书</w:t>
            </w:r>
            <w:r>
              <w:rPr>
                <w:rFonts w:hint="eastAsia"/>
                <w:sz w:val="21"/>
                <w:szCs w:val="21"/>
                <w:lang w:eastAsia="zh-CN"/>
              </w:rPr>
              <w:t>；</w:t>
            </w:r>
          </w:p>
          <w:p w14:paraId="4914073D">
            <w:pPr>
              <w:spacing w:line="400" w:lineRule="exact"/>
              <w:jc w:val="both"/>
              <w:rPr>
                <w:rFonts w:hint="eastAsia" w:eastAsiaTheme="minorEastAsia"/>
                <w:sz w:val="21"/>
                <w:szCs w:val="21"/>
                <w:lang w:eastAsia="zh-CN"/>
              </w:rPr>
            </w:pPr>
            <w:r>
              <w:rPr>
                <w:rFonts w:hint="eastAsia"/>
                <w:sz w:val="21"/>
                <w:szCs w:val="21"/>
                <w:lang w:val="en-US" w:eastAsia="zh-CN"/>
              </w:rPr>
              <w:t>2、</w:t>
            </w:r>
            <w:r>
              <w:rPr>
                <w:rFonts w:hint="eastAsia"/>
                <w:sz w:val="21"/>
                <w:szCs w:val="21"/>
              </w:rPr>
              <w:t>ISO20000-1服务管理体系认证证书</w:t>
            </w:r>
            <w:r>
              <w:rPr>
                <w:rFonts w:hint="eastAsia"/>
                <w:sz w:val="21"/>
                <w:szCs w:val="21"/>
                <w:lang w:eastAsia="zh-CN"/>
              </w:rPr>
              <w:t>；</w:t>
            </w:r>
          </w:p>
          <w:p w14:paraId="001AE30D">
            <w:pPr>
              <w:spacing w:line="400" w:lineRule="exact"/>
              <w:jc w:val="both"/>
              <w:rPr>
                <w:rFonts w:hint="eastAsia"/>
                <w:sz w:val="21"/>
                <w:szCs w:val="21"/>
                <w:lang w:eastAsia="zh-CN"/>
              </w:rPr>
            </w:pPr>
            <w:r>
              <w:rPr>
                <w:rFonts w:hint="eastAsia"/>
                <w:sz w:val="21"/>
                <w:szCs w:val="21"/>
                <w:lang w:val="en-US" w:eastAsia="zh-CN"/>
              </w:rPr>
              <w:t>3、</w:t>
            </w:r>
            <w:r>
              <w:rPr>
                <w:sz w:val="21"/>
                <w:szCs w:val="21"/>
              </w:rPr>
              <w:t>ISO27701隐私信息管理体系认证证书</w:t>
            </w:r>
            <w:r>
              <w:rPr>
                <w:rFonts w:hint="eastAsia"/>
                <w:sz w:val="21"/>
                <w:szCs w:val="21"/>
                <w:lang w:eastAsia="zh-CN"/>
              </w:rPr>
              <w:t>；</w:t>
            </w:r>
          </w:p>
          <w:p w14:paraId="7AAFF35A">
            <w:pPr>
              <w:spacing w:line="400" w:lineRule="exact"/>
              <w:jc w:val="both"/>
              <w:rPr>
                <w:rFonts w:hint="eastAsia"/>
                <w:sz w:val="21"/>
                <w:szCs w:val="21"/>
                <w:lang w:eastAsia="zh-CN"/>
              </w:rPr>
            </w:pPr>
            <w:r>
              <w:rPr>
                <w:rFonts w:hint="eastAsia"/>
                <w:sz w:val="21"/>
                <w:szCs w:val="21"/>
                <w:lang w:val="en-US" w:eastAsia="zh-CN"/>
              </w:rPr>
              <w:t>4、</w:t>
            </w:r>
            <w:r>
              <w:rPr>
                <w:rFonts w:hint="eastAsia"/>
                <w:sz w:val="21"/>
                <w:szCs w:val="21"/>
                <w:lang w:eastAsia="zh-CN"/>
              </w:rPr>
              <w:t>ISO9001质量管理体系认证证书；</w:t>
            </w:r>
          </w:p>
          <w:p w14:paraId="659D0316">
            <w:pPr>
              <w:spacing w:line="400" w:lineRule="exact"/>
              <w:jc w:val="both"/>
              <w:rPr>
                <w:rFonts w:hint="eastAsia"/>
                <w:sz w:val="21"/>
                <w:szCs w:val="21"/>
                <w:lang w:eastAsia="zh-CN"/>
              </w:rPr>
            </w:pPr>
            <w:r>
              <w:rPr>
                <w:rFonts w:hint="eastAsia"/>
                <w:sz w:val="21"/>
                <w:szCs w:val="21"/>
                <w:lang w:val="en-US" w:eastAsia="zh-CN"/>
              </w:rPr>
              <w:t>5、</w:t>
            </w:r>
            <w:r>
              <w:rPr>
                <w:rFonts w:hint="eastAsia"/>
                <w:sz w:val="21"/>
                <w:szCs w:val="21"/>
                <w:lang w:eastAsia="zh-CN"/>
              </w:rPr>
              <w:t>ISO45001职业健康安全管理体系认证证书；</w:t>
            </w:r>
          </w:p>
          <w:p w14:paraId="5E59D134">
            <w:pPr>
              <w:spacing w:line="400" w:lineRule="exact"/>
              <w:jc w:val="both"/>
              <w:rPr>
                <w:rFonts w:hint="eastAsia"/>
                <w:sz w:val="21"/>
                <w:szCs w:val="21"/>
                <w:lang w:eastAsia="zh-CN"/>
              </w:rPr>
            </w:pPr>
            <w:r>
              <w:rPr>
                <w:rFonts w:hint="eastAsia"/>
                <w:sz w:val="21"/>
                <w:szCs w:val="21"/>
                <w:lang w:val="en-US" w:eastAsia="zh-CN"/>
              </w:rPr>
              <w:t>6、</w:t>
            </w:r>
            <w:r>
              <w:rPr>
                <w:rFonts w:hint="eastAsia"/>
                <w:sz w:val="21"/>
                <w:szCs w:val="21"/>
                <w:lang w:eastAsia="zh-CN"/>
              </w:rPr>
              <w:t>ISO14001环境管理体系认证证书；</w:t>
            </w:r>
          </w:p>
          <w:p w14:paraId="747BF0FF">
            <w:pPr>
              <w:spacing w:line="400" w:lineRule="exact"/>
              <w:jc w:val="both"/>
              <w:rPr>
                <w:rFonts w:hint="eastAsia" w:eastAsiaTheme="minorEastAsia"/>
                <w:sz w:val="21"/>
                <w:szCs w:val="21"/>
                <w:lang w:eastAsia="zh-CN"/>
              </w:rPr>
            </w:pPr>
            <w:r>
              <w:rPr>
                <w:rFonts w:hint="eastAsia"/>
                <w:sz w:val="21"/>
                <w:szCs w:val="21"/>
                <w:lang w:val="en-US" w:eastAsia="zh-CN"/>
              </w:rPr>
              <w:t>7、</w:t>
            </w:r>
            <w:r>
              <w:rPr>
                <w:rFonts w:hint="eastAsia"/>
                <w:sz w:val="21"/>
                <w:szCs w:val="21"/>
                <w:lang w:eastAsia="zh-CN"/>
              </w:rPr>
              <w:t>ISO37301合规管理体系认证证书</w:t>
            </w:r>
            <w:r>
              <w:rPr>
                <w:rFonts w:hint="eastAsia"/>
                <w:sz w:val="21"/>
                <w:szCs w:val="21"/>
              </w:rPr>
              <w:t>的</w:t>
            </w:r>
            <w:r>
              <w:rPr>
                <w:rFonts w:hint="eastAsia"/>
                <w:sz w:val="21"/>
                <w:szCs w:val="21"/>
                <w:lang w:eastAsia="zh-CN"/>
              </w:rPr>
              <w:t>。</w:t>
            </w:r>
          </w:p>
          <w:p w14:paraId="30174CAE">
            <w:pPr>
              <w:spacing w:line="400" w:lineRule="exact"/>
              <w:jc w:val="both"/>
              <w:rPr>
                <w:sz w:val="21"/>
                <w:szCs w:val="21"/>
              </w:rPr>
            </w:pPr>
            <w:r>
              <w:rPr>
                <w:rFonts w:hint="eastAsia"/>
                <w:sz w:val="21"/>
                <w:szCs w:val="21"/>
                <w14:ligatures w14:val="standardContextual"/>
              </w:rPr>
              <w:t>以上满足全部</w:t>
            </w:r>
            <w:r>
              <w:rPr>
                <w:rFonts w:hint="eastAsia"/>
                <w:sz w:val="21"/>
                <w:szCs w:val="21"/>
                <w:lang w:val="en-US" w:eastAsia="zh-CN"/>
                <w14:ligatures w14:val="standardContextual"/>
              </w:rPr>
              <w:t>7</w:t>
            </w:r>
            <w:r>
              <w:rPr>
                <w:rFonts w:hint="eastAsia"/>
                <w:sz w:val="21"/>
                <w:szCs w:val="21"/>
                <w14:ligatures w14:val="standardContextual"/>
              </w:rPr>
              <w:t>项</w:t>
            </w:r>
            <w:r>
              <w:rPr>
                <w:rFonts w:hint="eastAsia"/>
                <w:sz w:val="21"/>
                <w:szCs w:val="21"/>
              </w:rPr>
              <w:t>得</w:t>
            </w:r>
            <w:r>
              <w:rPr>
                <w:rFonts w:hint="eastAsia"/>
                <w:sz w:val="21"/>
                <w:szCs w:val="21"/>
                <w:lang w:val="en-US" w:eastAsia="zh-CN"/>
              </w:rPr>
              <w:t>8</w:t>
            </w:r>
            <w:r>
              <w:rPr>
                <w:rFonts w:hint="eastAsia"/>
                <w:sz w:val="21"/>
                <w:szCs w:val="21"/>
              </w:rPr>
              <w:t>分；具有其中</w:t>
            </w:r>
            <w:r>
              <w:rPr>
                <w:rFonts w:hint="eastAsia"/>
                <w:sz w:val="21"/>
                <w:szCs w:val="21"/>
                <w:lang w:val="en-US" w:eastAsia="zh-CN"/>
              </w:rPr>
              <w:t>4</w:t>
            </w:r>
            <w:r>
              <w:rPr>
                <w:rFonts w:hint="eastAsia"/>
                <w:sz w:val="21"/>
                <w:szCs w:val="21"/>
              </w:rPr>
              <w:t>项认证的</w:t>
            </w:r>
            <w:r>
              <w:rPr>
                <w:rFonts w:hint="eastAsia"/>
                <w:sz w:val="21"/>
                <w:szCs w:val="21"/>
                <w:lang w:eastAsia="zh-CN"/>
              </w:rPr>
              <w:t>，</w:t>
            </w:r>
            <w:r>
              <w:rPr>
                <w:rFonts w:hint="eastAsia"/>
                <w:sz w:val="21"/>
                <w:szCs w:val="21"/>
              </w:rPr>
              <w:t>得</w:t>
            </w:r>
            <w:r>
              <w:rPr>
                <w:rFonts w:hint="eastAsia"/>
                <w:sz w:val="21"/>
                <w:szCs w:val="21"/>
                <w:lang w:val="en-US" w:eastAsia="zh-CN"/>
              </w:rPr>
              <w:t>3</w:t>
            </w:r>
            <w:r>
              <w:rPr>
                <w:rFonts w:hint="eastAsia"/>
                <w:sz w:val="21"/>
                <w:szCs w:val="21"/>
              </w:rPr>
              <w:t>分；具有其中</w:t>
            </w:r>
            <w:r>
              <w:rPr>
                <w:rFonts w:hint="eastAsia"/>
                <w:sz w:val="21"/>
                <w:szCs w:val="21"/>
                <w:lang w:val="en-US" w:eastAsia="zh-CN"/>
              </w:rPr>
              <w:t>2</w:t>
            </w:r>
            <w:r>
              <w:rPr>
                <w:rFonts w:hint="eastAsia"/>
                <w:sz w:val="21"/>
                <w:szCs w:val="21"/>
              </w:rPr>
              <w:t>项认证的，得1分；无则不得分。</w:t>
            </w:r>
          </w:p>
          <w:p w14:paraId="08E58EC0">
            <w:pPr>
              <w:spacing w:line="400" w:lineRule="exact"/>
              <w:jc w:val="both"/>
              <w:rPr>
                <w:sz w:val="21"/>
                <w:szCs w:val="21"/>
              </w:rPr>
            </w:pPr>
            <w:r>
              <w:rPr>
                <w:rFonts w:hint="eastAsia"/>
                <w:b/>
                <w:bCs/>
                <w:sz w:val="21"/>
                <w:szCs w:val="21"/>
              </w:rPr>
              <w:t>注：需提供证书复印件并加盖投标人公章。</w:t>
            </w:r>
          </w:p>
        </w:tc>
      </w:tr>
      <w:tr w14:paraId="4E36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38" w:type="pct"/>
            <w:vMerge w:val="continue"/>
            <w:vAlign w:val="center"/>
          </w:tcPr>
          <w:p w14:paraId="06D630C6">
            <w:pPr>
              <w:spacing w:line="400" w:lineRule="exact"/>
              <w:jc w:val="center"/>
              <w:rPr>
                <w:sz w:val="21"/>
                <w:szCs w:val="21"/>
              </w:rPr>
            </w:pPr>
          </w:p>
        </w:tc>
        <w:tc>
          <w:tcPr>
            <w:tcW w:w="559" w:type="pct"/>
            <w:vAlign w:val="center"/>
          </w:tcPr>
          <w:p w14:paraId="6219E043">
            <w:pPr>
              <w:spacing w:line="400" w:lineRule="exact"/>
              <w:jc w:val="center"/>
              <w:rPr>
                <w:sz w:val="21"/>
                <w:szCs w:val="21"/>
              </w:rPr>
            </w:pPr>
            <w:r>
              <w:rPr>
                <w:rFonts w:hint="eastAsia"/>
                <w:sz w:val="21"/>
                <w:szCs w:val="21"/>
              </w:rPr>
              <w:t>单位业绩</w:t>
            </w:r>
          </w:p>
        </w:tc>
        <w:tc>
          <w:tcPr>
            <w:tcW w:w="301" w:type="pct"/>
            <w:vAlign w:val="center"/>
          </w:tcPr>
          <w:p w14:paraId="15BD5D5C">
            <w:pPr>
              <w:spacing w:line="400" w:lineRule="exact"/>
              <w:jc w:val="center"/>
              <w:rPr>
                <w:rFonts w:hint="default" w:eastAsia="宋体"/>
                <w:sz w:val="21"/>
                <w:szCs w:val="21"/>
                <w:lang w:val="en-US" w:eastAsia="zh-CN"/>
              </w:rPr>
            </w:pPr>
            <w:r>
              <w:rPr>
                <w:rFonts w:hint="eastAsia"/>
                <w:sz w:val="21"/>
                <w:szCs w:val="21"/>
                <w:lang w:val="en-US" w:eastAsia="zh-CN"/>
              </w:rPr>
              <w:t>5</w:t>
            </w:r>
          </w:p>
        </w:tc>
        <w:tc>
          <w:tcPr>
            <w:tcW w:w="3600" w:type="pct"/>
            <w:vAlign w:val="center"/>
          </w:tcPr>
          <w:p w14:paraId="5983BC08">
            <w:pPr>
              <w:spacing w:line="360" w:lineRule="auto"/>
              <w:rPr>
                <w:sz w:val="21"/>
                <w:szCs w:val="21"/>
                <w:highlight w:val="none"/>
                <w14:ligatures w14:val="standardContextual"/>
              </w:rPr>
            </w:pPr>
            <w:r>
              <w:rPr>
                <w:rFonts w:hint="eastAsia"/>
                <w:sz w:val="21"/>
                <w:szCs w:val="21"/>
                <w:highlight w:val="none"/>
                <w14:ligatures w14:val="standardContextual"/>
              </w:rPr>
              <w:t>投标人提供自202</w:t>
            </w:r>
            <w:r>
              <w:rPr>
                <w:rFonts w:hint="eastAsia"/>
                <w:sz w:val="21"/>
                <w:szCs w:val="21"/>
                <w:highlight w:val="none"/>
                <w:lang w:val="en-US" w:eastAsia="zh-CN"/>
                <w14:ligatures w14:val="standardContextual"/>
              </w:rPr>
              <w:t>3</w:t>
            </w:r>
            <w:r>
              <w:rPr>
                <w:rFonts w:hint="eastAsia"/>
                <w:sz w:val="21"/>
                <w:szCs w:val="21"/>
                <w:highlight w:val="none"/>
                <w14:ligatures w14:val="standardContextual"/>
              </w:rPr>
              <w:t>年</w:t>
            </w:r>
            <w:r>
              <w:rPr>
                <w:rFonts w:hint="eastAsia"/>
                <w:sz w:val="21"/>
                <w:szCs w:val="21"/>
                <w:highlight w:val="none"/>
                <w:lang w:val="en-US" w:eastAsia="zh-CN"/>
                <w14:ligatures w14:val="standardContextual"/>
              </w:rPr>
              <w:t>1</w:t>
            </w:r>
            <w:r>
              <w:rPr>
                <w:rFonts w:hint="eastAsia"/>
                <w:sz w:val="21"/>
                <w:szCs w:val="21"/>
                <w:highlight w:val="none"/>
                <w14:ligatures w14:val="standardContextual"/>
              </w:rPr>
              <w:t>月起至今同类项目业绩</w:t>
            </w:r>
            <w:r>
              <w:rPr>
                <w:rFonts w:hint="eastAsia"/>
                <w:sz w:val="21"/>
                <w:szCs w:val="21"/>
                <w:highlight w:val="none"/>
                <w:lang w:eastAsia="zh-CN"/>
                <w14:ligatures w14:val="standardContextual"/>
              </w:rPr>
              <w:t>证明</w:t>
            </w:r>
            <w:r>
              <w:rPr>
                <w:rFonts w:hint="eastAsia"/>
                <w:sz w:val="21"/>
                <w:szCs w:val="21"/>
                <w:highlight w:val="none"/>
                <w14:ligatures w14:val="standardContextual"/>
              </w:rPr>
              <w:t>，每提供1个得</w:t>
            </w:r>
            <w:r>
              <w:rPr>
                <w:rFonts w:hint="eastAsia"/>
                <w:sz w:val="21"/>
                <w:szCs w:val="21"/>
                <w:highlight w:val="none"/>
                <w:lang w:val="en-US" w:eastAsia="zh-CN"/>
                <w14:ligatures w14:val="standardContextual"/>
              </w:rPr>
              <w:t>1</w:t>
            </w:r>
            <w:r>
              <w:rPr>
                <w:rFonts w:hint="eastAsia"/>
                <w:sz w:val="21"/>
                <w:szCs w:val="21"/>
                <w:highlight w:val="none"/>
                <w14:ligatures w14:val="standardContextual"/>
              </w:rPr>
              <w:t>分，最高得</w:t>
            </w:r>
            <w:r>
              <w:rPr>
                <w:rFonts w:hint="eastAsia"/>
                <w:sz w:val="21"/>
                <w:szCs w:val="21"/>
                <w:highlight w:val="none"/>
                <w:lang w:val="en-US" w:eastAsia="zh-CN"/>
                <w14:ligatures w14:val="standardContextual"/>
              </w:rPr>
              <w:t>5</w:t>
            </w:r>
            <w:r>
              <w:rPr>
                <w:rFonts w:hint="eastAsia"/>
                <w:sz w:val="21"/>
                <w:szCs w:val="21"/>
                <w:highlight w:val="none"/>
                <w14:ligatures w14:val="standardContextual"/>
              </w:rPr>
              <w:t>分。</w:t>
            </w:r>
          </w:p>
          <w:p w14:paraId="23820642">
            <w:pPr>
              <w:spacing w:line="400" w:lineRule="exact"/>
              <w:jc w:val="both"/>
              <w:rPr>
                <w:sz w:val="21"/>
                <w:szCs w:val="21"/>
              </w:rPr>
            </w:pPr>
            <w:r>
              <w:rPr>
                <w:rFonts w:hint="eastAsia"/>
                <w:b/>
                <w:bCs/>
                <w:sz w:val="21"/>
                <w:szCs w:val="21"/>
                <w:highlight w:val="none"/>
                <w14:ligatures w14:val="standardContextual"/>
              </w:rPr>
              <w:t>注：以合同签订时间为准。需提供合同关键页扫描件（包括</w:t>
            </w:r>
            <w:r>
              <w:rPr>
                <w:rFonts w:hint="eastAsia"/>
                <w:b/>
                <w:bCs/>
                <w:sz w:val="21"/>
                <w:szCs w:val="21"/>
                <w:highlight w:val="none"/>
                <w:lang w:eastAsia="zh-CN"/>
                <w14:ligatures w14:val="standardContextual"/>
              </w:rPr>
              <w:t>服务内容、</w:t>
            </w:r>
            <w:r>
              <w:rPr>
                <w:rFonts w:hint="eastAsia"/>
                <w:b/>
                <w:bCs/>
                <w:sz w:val="21"/>
                <w:szCs w:val="21"/>
                <w:highlight w:val="none"/>
                <w14:ligatures w14:val="standardContextual"/>
              </w:rPr>
              <w:t>双方盖章、签约时间），未按要求提供的不得分。</w:t>
            </w:r>
            <w:r>
              <w:rPr>
                <w:rFonts w:hint="eastAsia"/>
                <w:b/>
                <w:bCs/>
                <w:sz w:val="21"/>
                <w:szCs w:val="21"/>
                <w:highlight w:val="none"/>
                <w:lang w:val="en-US"/>
              </w:rPr>
              <w:t>注：</w:t>
            </w:r>
            <w:r>
              <w:rPr>
                <w:rFonts w:hint="eastAsia"/>
                <w:b/>
                <w:bCs/>
                <w:color w:val="FF0000"/>
                <w:sz w:val="21"/>
                <w:szCs w:val="21"/>
                <w:highlight w:val="none"/>
                <w:lang w:eastAsia="zh-CN"/>
              </w:rPr>
              <w:t>同类项目指安全风险评估服务项目</w:t>
            </w:r>
            <w:r>
              <w:rPr>
                <w:rFonts w:hint="eastAsia"/>
                <w:b/>
                <w:bCs/>
                <w:sz w:val="21"/>
                <w:szCs w:val="21"/>
                <w:highlight w:val="none"/>
              </w:rPr>
              <w:t>。</w:t>
            </w:r>
          </w:p>
        </w:tc>
      </w:tr>
      <w:tr w14:paraId="40A3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8" w:type="pct"/>
            <w:vMerge w:val="continue"/>
            <w:vAlign w:val="center"/>
          </w:tcPr>
          <w:p w14:paraId="2622263D">
            <w:pPr>
              <w:spacing w:line="400" w:lineRule="exact"/>
              <w:jc w:val="center"/>
              <w:rPr>
                <w:sz w:val="21"/>
                <w:szCs w:val="21"/>
              </w:rPr>
            </w:pPr>
          </w:p>
        </w:tc>
        <w:tc>
          <w:tcPr>
            <w:tcW w:w="559" w:type="pct"/>
            <w:vAlign w:val="center"/>
          </w:tcPr>
          <w:p w14:paraId="0721AC29">
            <w:pPr>
              <w:spacing w:line="400" w:lineRule="exact"/>
              <w:jc w:val="center"/>
              <w:rPr>
                <w:sz w:val="21"/>
                <w:szCs w:val="21"/>
              </w:rPr>
            </w:pPr>
            <w:r>
              <w:rPr>
                <w:rFonts w:hint="eastAsia"/>
                <w:sz w:val="21"/>
                <w:szCs w:val="21"/>
              </w:rPr>
              <w:t>项目</w:t>
            </w:r>
            <w:r>
              <w:rPr>
                <w:rFonts w:hint="eastAsia"/>
                <w:sz w:val="21"/>
                <w:szCs w:val="21"/>
                <w:lang w:eastAsia="zh-CN"/>
              </w:rPr>
              <w:t>经理</w:t>
            </w:r>
            <w:r>
              <w:rPr>
                <w:rFonts w:hint="eastAsia"/>
                <w:sz w:val="21"/>
                <w:szCs w:val="21"/>
              </w:rPr>
              <w:t>资格</w:t>
            </w:r>
          </w:p>
        </w:tc>
        <w:tc>
          <w:tcPr>
            <w:tcW w:w="301" w:type="pct"/>
            <w:vAlign w:val="center"/>
          </w:tcPr>
          <w:p w14:paraId="31D644A3">
            <w:pPr>
              <w:spacing w:line="400" w:lineRule="exact"/>
              <w:jc w:val="center"/>
              <w:rPr>
                <w:rFonts w:hint="default" w:eastAsiaTheme="minorEastAsia"/>
                <w:sz w:val="21"/>
                <w:szCs w:val="21"/>
                <w:lang w:val="en-US" w:eastAsia="zh-CN"/>
              </w:rPr>
            </w:pPr>
            <w:r>
              <w:rPr>
                <w:rFonts w:hint="eastAsia"/>
                <w:sz w:val="21"/>
                <w:szCs w:val="21"/>
                <w:lang w:val="en-US" w:eastAsia="zh-CN"/>
              </w:rPr>
              <w:t>10</w:t>
            </w:r>
          </w:p>
        </w:tc>
        <w:tc>
          <w:tcPr>
            <w:tcW w:w="3600" w:type="pct"/>
            <w:vAlign w:val="center"/>
          </w:tcPr>
          <w:p w14:paraId="05B19E29">
            <w:pPr>
              <w:spacing w:line="400" w:lineRule="exact"/>
              <w:jc w:val="both"/>
              <w:rPr>
                <w:rFonts w:hint="eastAsia" w:eastAsiaTheme="minorEastAsia"/>
                <w:sz w:val="21"/>
                <w:szCs w:val="21"/>
                <w:lang w:val="en-US" w:eastAsia="zh-CN"/>
              </w:rPr>
            </w:pPr>
            <w:r>
              <w:rPr>
                <w:rFonts w:hint="eastAsia"/>
                <w:sz w:val="21"/>
                <w:szCs w:val="21"/>
                <w:lang w:val="en-US"/>
              </w:rPr>
              <w:t>拟派本项目的项目经理需持有全日制本科及以上学历，</w:t>
            </w:r>
            <w:r>
              <w:rPr>
                <w:sz w:val="21"/>
                <w:szCs w:val="21"/>
                <w:lang w:val="en-US"/>
              </w:rPr>
              <w:t>10年及以上工作经验，根据所具备的资质资历进行评分：</w:t>
            </w:r>
          </w:p>
          <w:p w14:paraId="0A0D3F59">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1.网络安全等级保护测评师证书中级或以上；</w:t>
            </w:r>
          </w:p>
          <w:p w14:paraId="3943F281">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2.信息技术基础设施库证书（ITIL）；</w:t>
            </w:r>
          </w:p>
          <w:p w14:paraId="6856BE17">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3.注册信息安全工程师证书（CISP-CISE）；</w:t>
            </w:r>
          </w:p>
          <w:p w14:paraId="62C76320">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4.公安部信息安全等级保护评估中心颁发的CIIP-A证书；</w:t>
            </w:r>
          </w:p>
          <w:p w14:paraId="1632BC9C">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5.个人信息保护合规审计师认证证书（CCRC-PIPCA）；</w:t>
            </w:r>
            <w:r>
              <w:rPr>
                <w:rFonts w:hint="eastAsia" w:ascii="宋体" w:hAnsi="宋体" w:cs="宋体"/>
                <w:bCs w:val="0"/>
                <w:spacing w:val="0"/>
                <w:kern w:val="0"/>
                <w:sz w:val="21"/>
                <w:szCs w:val="21"/>
                <w:lang w:val="en-US" w:eastAsia="zh-CN" w:bidi="zh-CN"/>
                <w14:ligatures w14:val="standardContextual"/>
              </w:rPr>
              <w:br w:type="textWrapping"/>
            </w:r>
            <w:r>
              <w:rPr>
                <w:rFonts w:hint="eastAsia" w:ascii="宋体" w:hAnsi="宋体" w:cs="宋体"/>
                <w:bCs w:val="0"/>
                <w:spacing w:val="0"/>
                <w:kern w:val="0"/>
                <w:sz w:val="21"/>
                <w:szCs w:val="21"/>
                <w:lang w:val="en-US" w:eastAsia="zh-CN" w:bidi="zh-CN"/>
                <w14:ligatures w14:val="standardContextual"/>
              </w:rPr>
              <w:t>6.信息安全保障人员认证证书（CCRC-CISAW）；</w:t>
            </w:r>
            <w:r>
              <w:rPr>
                <w:rFonts w:hint="eastAsia" w:ascii="宋体" w:hAnsi="宋体" w:cs="宋体"/>
                <w:bCs w:val="0"/>
                <w:spacing w:val="0"/>
                <w:kern w:val="0"/>
                <w:sz w:val="21"/>
                <w:szCs w:val="21"/>
                <w:lang w:val="en-US" w:eastAsia="zh-CN" w:bidi="zh-CN"/>
                <w14:ligatures w14:val="standardContextual"/>
              </w:rPr>
              <w:br w:type="textWrapping"/>
            </w:r>
            <w:r>
              <w:rPr>
                <w:rFonts w:hint="eastAsia" w:ascii="宋体" w:hAnsi="宋体" w:cs="宋体"/>
                <w:bCs w:val="0"/>
                <w:spacing w:val="0"/>
                <w:kern w:val="0"/>
                <w:sz w:val="21"/>
                <w:szCs w:val="21"/>
                <w:lang w:val="en-US" w:eastAsia="zh-CN" w:bidi="zh-CN"/>
                <w14:ligatures w14:val="standardContextual"/>
              </w:rPr>
              <w:t>7.个人信息保护合规审计师认证证书（CCRC-PIPCA）；</w:t>
            </w:r>
          </w:p>
          <w:p w14:paraId="08CD8166">
            <w:pPr>
              <w:spacing w:line="400" w:lineRule="exact"/>
              <w:jc w:val="both"/>
              <w:rPr>
                <w:rFonts w:hint="eastAsia" w:ascii="宋体" w:hAnsi="宋体" w:cs="宋体"/>
                <w:bCs w:val="0"/>
                <w:spacing w:val="0"/>
                <w:kern w:val="0"/>
                <w:sz w:val="21"/>
                <w:szCs w:val="21"/>
                <w:lang w:val="en-US" w:eastAsia="zh-CN" w:bidi="zh-CN"/>
                <w14:ligatures w14:val="standardContextual"/>
              </w:rPr>
            </w:pPr>
            <w:r>
              <w:rPr>
                <w:rFonts w:hint="eastAsia" w:ascii="宋体" w:hAnsi="宋体" w:cs="宋体"/>
                <w:bCs w:val="0"/>
                <w:spacing w:val="0"/>
                <w:kern w:val="0"/>
                <w:sz w:val="21"/>
                <w:szCs w:val="21"/>
                <w:lang w:val="en-US" w:eastAsia="zh-CN" w:bidi="zh-CN"/>
                <w14:ligatures w14:val="standardContextual"/>
              </w:rPr>
              <w:t>8.网络空间安全专业人员认证证书。</w:t>
            </w:r>
          </w:p>
          <w:p w14:paraId="7A6CF299">
            <w:pPr>
              <w:spacing w:line="400" w:lineRule="exact"/>
              <w:jc w:val="both"/>
              <w:rPr>
                <w:b/>
                <w:bCs/>
                <w:sz w:val="21"/>
                <w:szCs w:val="21"/>
                <w:lang w:val="en-US"/>
              </w:rPr>
            </w:pPr>
            <w:r>
              <w:rPr>
                <w:rFonts w:hint="eastAsia"/>
                <w:b/>
                <w:bCs/>
                <w:sz w:val="21"/>
                <w:szCs w:val="21"/>
                <w:lang w:val="en-US" w:eastAsia="zh-CN"/>
              </w:rPr>
              <w:t>注：项目经理同时具备</w:t>
            </w:r>
            <w:r>
              <w:rPr>
                <w:rFonts w:hint="eastAsia"/>
                <w:b/>
                <w:bCs/>
                <w:sz w:val="21"/>
                <w:szCs w:val="21"/>
                <w:lang w:val="en-US"/>
              </w:rPr>
              <w:t>以上</w:t>
            </w:r>
            <w:r>
              <w:rPr>
                <w:rFonts w:hint="eastAsia"/>
                <w:b/>
                <w:bCs/>
                <w:sz w:val="21"/>
                <w:szCs w:val="21"/>
                <w:lang w:val="en-US" w:eastAsia="zh-CN"/>
              </w:rPr>
              <w:t>8</w:t>
            </w:r>
            <w:r>
              <w:rPr>
                <w:b/>
                <w:bCs/>
                <w:sz w:val="21"/>
                <w:szCs w:val="21"/>
                <w:lang w:val="en-US"/>
              </w:rPr>
              <w:t>项</w:t>
            </w:r>
            <w:r>
              <w:rPr>
                <w:rFonts w:hint="eastAsia"/>
                <w:b/>
                <w:bCs/>
                <w:sz w:val="21"/>
                <w:szCs w:val="21"/>
                <w:lang w:val="en-US" w:eastAsia="zh-CN"/>
              </w:rPr>
              <w:t>证书</w:t>
            </w:r>
            <w:r>
              <w:rPr>
                <w:b/>
                <w:bCs/>
                <w:sz w:val="21"/>
                <w:szCs w:val="21"/>
                <w:lang w:val="en-US"/>
              </w:rPr>
              <w:t>得</w:t>
            </w:r>
            <w:r>
              <w:rPr>
                <w:rFonts w:hint="eastAsia"/>
                <w:b/>
                <w:bCs/>
                <w:sz w:val="21"/>
                <w:szCs w:val="21"/>
                <w:lang w:val="en-US" w:eastAsia="zh-CN"/>
              </w:rPr>
              <w:t>10</w:t>
            </w:r>
            <w:r>
              <w:rPr>
                <w:b/>
                <w:bCs/>
                <w:sz w:val="21"/>
                <w:szCs w:val="21"/>
                <w:lang w:val="en-US"/>
              </w:rPr>
              <w:t>分，每少一</w:t>
            </w:r>
            <w:r>
              <w:rPr>
                <w:rFonts w:hint="eastAsia"/>
                <w:b/>
                <w:bCs/>
                <w:sz w:val="21"/>
                <w:szCs w:val="21"/>
                <w:lang w:val="en-US" w:eastAsia="zh-CN"/>
              </w:rPr>
              <w:t>项</w:t>
            </w:r>
            <w:r>
              <w:rPr>
                <w:b/>
                <w:bCs/>
                <w:sz w:val="21"/>
                <w:szCs w:val="21"/>
                <w:lang w:val="en-US"/>
              </w:rPr>
              <w:t>扣</w:t>
            </w:r>
            <w:r>
              <w:rPr>
                <w:rFonts w:hint="eastAsia"/>
                <w:b/>
                <w:bCs/>
                <w:sz w:val="21"/>
                <w:szCs w:val="21"/>
                <w:lang w:val="en-US" w:eastAsia="zh-CN"/>
              </w:rPr>
              <w:t>2</w:t>
            </w:r>
            <w:r>
              <w:rPr>
                <w:b/>
                <w:bCs/>
                <w:sz w:val="21"/>
                <w:szCs w:val="21"/>
                <w:lang w:val="en-US"/>
              </w:rPr>
              <w:t>分，扣完为止。</w:t>
            </w:r>
          </w:p>
          <w:p w14:paraId="1E9AF980">
            <w:pPr>
              <w:spacing w:line="400" w:lineRule="exact"/>
              <w:jc w:val="both"/>
              <w:rPr>
                <w:rFonts w:hint="eastAsia"/>
                <w:b/>
                <w:bCs/>
                <w:sz w:val="21"/>
                <w:szCs w:val="21"/>
                <w:lang w:val="en-US"/>
              </w:rPr>
            </w:pPr>
            <w:r>
              <w:rPr>
                <w:rFonts w:hint="eastAsia"/>
                <w:b/>
                <w:bCs/>
                <w:sz w:val="21"/>
                <w:szCs w:val="21"/>
                <w14:ligatures w14:val="standardContextual"/>
              </w:rPr>
              <w:t>提供证书复印件与投标截止时间前3个月任意一个月在投标人单位购买的社保证明复印件并加盖投标人公章。</w:t>
            </w:r>
          </w:p>
        </w:tc>
      </w:tr>
      <w:tr w14:paraId="13A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8" w:type="pct"/>
            <w:vMerge w:val="continue"/>
            <w:vAlign w:val="center"/>
          </w:tcPr>
          <w:p w14:paraId="6832906B">
            <w:pPr>
              <w:spacing w:line="400" w:lineRule="exact"/>
              <w:jc w:val="center"/>
              <w:rPr>
                <w:sz w:val="21"/>
                <w:szCs w:val="21"/>
              </w:rPr>
            </w:pPr>
          </w:p>
        </w:tc>
        <w:tc>
          <w:tcPr>
            <w:tcW w:w="559" w:type="pct"/>
            <w:vAlign w:val="center"/>
          </w:tcPr>
          <w:p w14:paraId="76DB5A7E">
            <w:pPr>
              <w:spacing w:line="400" w:lineRule="exact"/>
              <w:jc w:val="center"/>
              <w:rPr>
                <w:sz w:val="21"/>
                <w:szCs w:val="21"/>
              </w:rPr>
            </w:pPr>
            <w:r>
              <w:rPr>
                <w:rFonts w:hint="eastAsia"/>
                <w:sz w:val="21"/>
                <w:szCs w:val="21"/>
              </w:rPr>
              <w:t>拟投入本项目</w:t>
            </w:r>
            <w:r>
              <w:rPr>
                <w:rFonts w:hint="eastAsia"/>
                <w:sz w:val="21"/>
                <w:szCs w:val="21"/>
                <w:lang w:eastAsia="zh-CN"/>
              </w:rPr>
              <w:t>测评</w:t>
            </w:r>
            <w:r>
              <w:rPr>
                <w:rFonts w:hint="eastAsia"/>
                <w:sz w:val="21"/>
                <w:szCs w:val="21"/>
              </w:rPr>
              <w:t>人员</w:t>
            </w:r>
          </w:p>
        </w:tc>
        <w:tc>
          <w:tcPr>
            <w:tcW w:w="301" w:type="pct"/>
            <w:vAlign w:val="center"/>
          </w:tcPr>
          <w:p w14:paraId="582B9D1E">
            <w:pPr>
              <w:spacing w:line="400" w:lineRule="exact"/>
              <w:jc w:val="center"/>
              <w:rPr>
                <w:rFonts w:hint="eastAsia" w:eastAsiaTheme="minorEastAsia"/>
                <w:sz w:val="21"/>
                <w:szCs w:val="21"/>
                <w:lang w:eastAsia="zh-CN"/>
              </w:rPr>
            </w:pPr>
            <w:r>
              <w:rPr>
                <w:rFonts w:hint="eastAsia"/>
                <w:sz w:val="21"/>
                <w:szCs w:val="21"/>
              </w:rPr>
              <w:t>1</w:t>
            </w:r>
            <w:r>
              <w:rPr>
                <w:rFonts w:hint="eastAsia"/>
                <w:sz w:val="21"/>
                <w:szCs w:val="21"/>
                <w:lang w:val="en-US" w:eastAsia="zh-CN"/>
              </w:rPr>
              <w:t>4</w:t>
            </w:r>
          </w:p>
        </w:tc>
        <w:tc>
          <w:tcPr>
            <w:tcW w:w="3600" w:type="pct"/>
            <w:vAlign w:val="center"/>
          </w:tcPr>
          <w:p w14:paraId="2EE05195">
            <w:pPr>
              <w:spacing w:line="360" w:lineRule="auto"/>
              <w:rPr>
                <w:sz w:val="21"/>
                <w:szCs w:val="21"/>
                <w14:ligatures w14:val="standardContextual"/>
              </w:rPr>
            </w:pPr>
            <w:r>
              <w:rPr>
                <w:rFonts w:hint="eastAsia"/>
                <w:sz w:val="21"/>
                <w:szCs w:val="21"/>
                <w14:ligatures w14:val="standardContextual"/>
              </w:rPr>
              <w:t>对项目团队人员所拥有的技术资质情况进行评分（不包含项目经理）：</w:t>
            </w:r>
          </w:p>
          <w:p w14:paraId="364EA436">
            <w:pPr>
              <w:spacing w:line="400" w:lineRule="exact"/>
              <w:jc w:val="both"/>
              <w:rPr>
                <w:rFonts w:hint="eastAsia"/>
                <w:sz w:val="21"/>
                <w:szCs w:val="21"/>
                <w:lang w:eastAsia="zh-CN"/>
                <w14:ligatures w14:val="standardContextual"/>
              </w:rPr>
            </w:pPr>
            <w:r>
              <w:rPr>
                <w:rFonts w:hint="eastAsia"/>
                <w:sz w:val="21"/>
                <w:szCs w:val="21"/>
                <w:lang w:val="en-US" w:eastAsia="zh-CN"/>
                <w14:ligatures w14:val="standardContextual"/>
              </w:rPr>
              <w:t>1</w:t>
            </w:r>
            <w:r>
              <w:rPr>
                <w:rFonts w:hint="eastAsia"/>
                <w:sz w:val="21"/>
                <w:szCs w:val="21"/>
                <w:lang w:eastAsia="zh-CN"/>
                <w14:ligatures w14:val="standardContextual"/>
              </w:rPr>
              <w:t>、投入一名同时持有网络安全等级保护测评师中级、</w:t>
            </w:r>
            <w:r>
              <w:rPr>
                <w:sz w:val="21"/>
                <w:szCs w:val="21"/>
                <w:lang w:val="en-US"/>
              </w:rPr>
              <w:t>信息技术基础设施库证书</w:t>
            </w:r>
            <w:r>
              <w:rPr>
                <w:rFonts w:hint="eastAsia"/>
                <w:sz w:val="21"/>
                <w:szCs w:val="21"/>
                <w:lang w:val="en-US" w:eastAsia="zh-CN"/>
              </w:rPr>
              <w:t>（</w:t>
            </w:r>
            <w:r>
              <w:rPr>
                <w:sz w:val="21"/>
                <w:szCs w:val="21"/>
                <w:lang w:val="en-US"/>
              </w:rPr>
              <w:t>ITIL</w:t>
            </w:r>
            <w:r>
              <w:rPr>
                <w:rFonts w:hint="eastAsia"/>
                <w:sz w:val="21"/>
                <w:szCs w:val="21"/>
                <w:lang w:val="en-US" w:eastAsia="zh-CN"/>
              </w:rPr>
              <w:t>）</w:t>
            </w:r>
            <w:r>
              <w:rPr>
                <w:rFonts w:hint="eastAsia"/>
                <w:sz w:val="21"/>
                <w:szCs w:val="21"/>
                <w:lang w:eastAsia="zh-CN"/>
                <w14:ligatures w14:val="standardContextual"/>
              </w:rPr>
              <w:t>、注册信息安全管理人员证书（CISP-CISO）、中国通信企业协会网络安全人员能力认证证书、项目管理专业人士资格认证证书（PMP）、注册数据安全治理专业人员（CISP-DSG）、网络空间安全专业人员认证证书和</w:t>
            </w:r>
            <w:r>
              <w:rPr>
                <w:rFonts w:hint="eastAsia"/>
                <w:sz w:val="21"/>
                <w:szCs w:val="21"/>
                <w:lang w:val="en-US" w:eastAsia="zh-CN"/>
                <w14:ligatures w14:val="standardContextual"/>
              </w:rPr>
              <w:t>信息安全保障人员认证证书（CCRC-CISAW）</w:t>
            </w:r>
            <w:r>
              <w:rPr>
                <w:rFonts w:hint="eastAsia"/>
                <w:sz w:val="21"/>
                <w:szCs w:val="21"/>
                <w:lang w:eastAsia="zh-CN"/>
                <w14:ligatures w14:val="standardContextual"/>
              </w:rPr>
              <w:t>的技术人员，得</w:t>
            </w:r>
            <w:r>
              <w:rPr>
                <w:rFonts w:hint="eastAsia"/>
                <w:sz w:val="21"/>
                <w:szCs w:val="21"/>
                <w:lang w:val="en-US" w:eastAsia="zh-CN"/>
                <w14:ligatures w14:val="standardContextual"/>
              </w:rPr>
              <w:t>7</w:t>
            </w:r>
            <w:r>
              <w:rPr>
                <w:rFonts w:hint="eastAsia"/>
                <w:sz w:val="21"/>
                <w:szCs w:val="21"/>
                <w:lang w:eastAsia="zh-CN"/>
                <w14:ligatures w14:val="standardContextual"/>
              </w:rPr>
              <w:t>分，最高得</w:t>
            </w:r>
            <w:r>
              <w:rPr>
                <w:rFonts w:hint="eastAsia"/>
                <w:sz w:val="21"/>
                <w:szCs w:val="21"/>
                <w:lang w:val="en-US" w:eastAsia="zh-CN"/>
                <w14:ligatures w14:val="standardContextual"/>
              </w:rPr>
              <w:t>7</w:t>
            </w:r>
            <w:r>
              <w:rPr>
                <w:rFonts w:hint="eastAsia"/>
                <w:sz w:val="21"/>
                <w:szCs w:val="21"/>
                <w:lang w:eastAsia="zh-CN"/>
                <w14:ligatures w14:val="standardContextual"/>
              </w:rPr>
              <w:t>分。</w:t>
            </w:r>
          </w:p>
          <w:p w14:paraId="698704DA">
            <w:pPr>
              <w:spacing w:line="400" w:lineRule="exact"/>
              <w:jc w:val="both"/>
              <w:rPr>
                <w:rFonts w:hint="eastAsia"/>
                <w:sz w:val="21"/>
                <w:szCs w:val="21"/>
                <w:lang w:eastAsia="zh-CN"/>
                <w14:ligatures w14:val="standardContextual"/>
              </w:rPr>
            </w:pPr>
            <w:r>
              <w:rPr>
                <w:rFonts w:hint="eastAsia"/>
                <w:sz w:val="21"/>
                <w:szCs w:val="21"/>
                <w:lang w:val="en-US" w:eastAsia="zh-CN"/>
                <w14:ligatures w14:val="standardContextual"/>
              </w:rPr>
              <w:t>2</w:t>
            </w:r>
            <w:r>
              <w:rPr>
                <w:rFonts w:hint="eastAsia"/>
                <w:sz w:val="21"/>
                <w:szCs w:val="21"/>
                <w:lang w:eastAsia="zh-CN"/>
                <w14:ligatures w14:val="standardContextual"/>
              </w:rPr>
              <w:t>、投入一名同时持有网络安全等级保护测评师初级以上证书、注册渗透测试工程师证书（CISP-PTE）和人力资源和社会保障部门颁发的信息安全工程师证书的技术人员，得</w:t>
            </w:r>
            <w:r>
              <w:rPr>
                <w:rFonts w:hint="eastAsia"/>
                <w:sz w:val="21"/>
                <w:szCs w:val="21"/>
                <w:lang w:val="en-US" w:eastAsia="zh-CN"/>
                <w14:ligatures w14:val="standardContextual"/>
              </w:rPr>
              <w:t>2</w:t>
            </w:r>
            <w:r>
              <w:rPr>
                <w:rFonts w:hint="eastAsia"/>
                <w:sz w:val="21"/>
                <w:szCs w:val="21"/>
                <w:lang w:eastAsia="zh-CN"/>
                <w14:ligatures w14:val="standardContextual"/>
              </w:rPr>
              <w:t>分，最高得</w:t>
            </w:r>
            <w:r>
              <w:rPr>
                <w:rFonts w:hint="eastAsia"/>
                <w:sz w:val="21"/>
                <w:szCs w:val="21"/>
                <w:lang w:val="en-US" w:eastAsia="zh-CN"/>
                <w14:ligatures w14:val="standardContextual"/>
              </w:rPr>
              <w:t>2</w:t>
            </w:r>
            <w:r>
              <w:rPr>
                <w:rFonts w:hint="eastAsia"/>
                <w:sz w:val="21"/>
                <w:szCs w:val="21"/>
                <w:lang w:eastAsia="zh-CN"/>
                <w14:ligatures w14:val="standardContextual"/>
              </w:rPr>
              <w:t>分。</w:t>
            </w:r>
          </w:p>
          <w:p w14:paraId="62031C36">
            <w:pPr>
              <w:spacing w:line="400" w:lineRule="exact"/>
              <w:jc w:val="both"/>
              <w:rPr>
                <w:rFonts w:hint="eastAsia"/>
                <w:sz w:val="21"/>
                <w:szCs w:val="21"/>
                <w:lang w:eastAsia="zh-CN"/>
                <w14:ligatures w14:val="standardContextual"/>
              </w:rPr>
            </w:pPr>
            <w:r>
              <w:rPr>
                <w:rFonts w:hint="eastAsia"/>
                <w:sz w:val="21"/>
                <w:szCs w:val="21"/>
                <w:lang w:eastAsia="zh-CN"/>
                <w14:ligatures w14:val="standardContextual"/>
              </w:rPr>
              <w:t>3、投入一名同时具备网络安全等级保护测评师中级以上证书、</w:t>
            </w:r>
            <w:r>
              <w:rPr>
                <w:rFonts w:hint="eastAsia" w:ascii="宋体" w:hAnsi="宋体" w:cs="宋体"/>
                <w:bCs w:val="0"/>
                <w:spacing w:val="0"/>
                <w:kern w:val="0"/>
                <w:sz w:val="21"/>
                <w:szCs w:val="21"/>
                <w:lang w:val="en-US" w:eastAsia="zh-CN" w:bidi="zh-CN"/>
                <w14:ligatures w14:val="standardContextual"/>
              </w:rPr>
              <w:t>注册信息安全工程师证书（CISP-CISE）</w:t>
            </w:r>
            <w:r>
              <w:rPr>
                <w:rFonts w:hint="eastAsia"/>
                <w:sz w:val="21"/>
                <w:szCs w:val="21"/>
                <w:lang w:eastAsia="zh-CN"/>
                <w14:ligatures w14:val="standardContextual"/>
              </w:rPr>
              <w:t>、中国通信企业协会网络安全人员能力认证证书和数据安全官认证证书（CCRC-DSO）的技术人员，得</w:t>
            </w:r>
            <w:r>
              <w:rPr>
                <w:rFonts w:hint="eastAsia"/>
                <w:sz w:val="21"/>
                <w:szCs w:val="21"/>
                <w:lang w:val="en-US" w:eastAsia="zh-CN"/>
                <w14:ligatures w14:val="standardContextual"/>
              </w:rPr>
              <w:t>3</w:t>
            </w:r>
            <w:r>
              <w:rPr>
                <w:rFonts w:hint="eastAsia"/>
                <w:sz w:val="21"/>
                <w:szCs w:val="21"/>
                <w:lang w:eastAsia="zh-CN"/>
                <w14:ligatures w14:val="standardContextual"/>
              </w:rPr>
              <w:t>分，最高得</w:t>
            </w:r>
            <w:r>
              <w:rPr>
                <w:rFonts w:hint="eastAsia"/>
                <w:sz w:val="21"/>
                <w:szCs w:val="21"/>
                <w:lang w:val="en-US" w:eastAsia="zh-CN"/>
                <w14:ligatures w14:val="standardContextual"/>
              </w:rPr>
              <w:t>3</w:t>
            </w:r>
            <w:r>
              <w:rPr>
                <w:rFonts w:hint="eastAsia"/>
                <w:sz w:val="21"/>
                <w:szCs w:val="21"/>
                <w:lang w:eastAsia="zh-CN"/>
                <w14:ligatures w14:val="standardContextual"/>
              </w:rPr>
              <w:t>分。</w:t>
            </w:r>
          </w:p>
          <w:p w14:paraId="14E226F4">
            <w:pPr>
              <w:pStyle w:val="2"/>
              <w:rPr>
                <w:rFonts w:hint="default"/>
                <w:color w:val="FF0000"/>
                <w:lang w:val="en-US" w:eastAsia="zh-CN"/>
              </w:rPr>
            </w:pPr>
            <w:r>
              <w:rPr>
                <w:rFonts w:hint="eastAsia"/>
                <w:color w:val="FF0000"/>
                <w:sz w:val="21"/>
                <w:szCs w:val="21"/>
                <w:lang w:val="en-US" w:eastAsia="zh-CN"/>
                <w14:ligatures w14:val="standardContextual"/>
              </w:rPr>
              <w:t>4、</w:t>
            </w:r>
            <w:r>
              <w:rPr>
                <w:rFonts w:hint="eastAsia"/>
                <w:color w:val="FF0000"/>
                <w:sz w:val="21"/>
                <w:szCs w:val="21"/>
                <w:lang w:eastAsia="zh-CN"/>
                <w14:ligatures w14:val="standardContextual"/>
              </w:rPr>
              <w:t>投入一名同时具备网络安全等级保护测评师中级以上证书、</w:t>
            </w:r>
            <w:r>
              <w:rPr>
                <w:rFonts w:hint="eastAsia" w:ascii="宋体" w:hAnsi="宋体" w:cs="宋体"/>
                <w:bCs w:val="0"/>
                <w:color w:val="FF0000"/>
                <w:spacing w:val="0"/>
                <w:kern w:val="0"/>
                <w:sz w:val="21"/>
                <w:szCs w:val="21"/>
                <w:lang w:val="en-US" w:eastAsia="zh-CN" w:bidi="zh-CN"/>
                <w14:ligatures w14:val="standardContextual"/>
              </w:rPr>
              <w:t>注册信息安全工程师证书（CISP-CISE）、数据安全评估师认证证书（CCRC-DAS）</w:t>
            </w:r>
            <w:r>
              <w:rPr>
                <w:rFonts w:hint="eastAsia"/>
                <w:color w:val="FF0000"/>
                <w:sz w:val="21"/>
                <w:szCs w:val="21"/>
                <w:lang w:eastAsia="zh-CN"/>
                <w14:ligatures w14:val="standardContextual"/>
              </w:rPr>
              <w:t>的技术人员，得</w:t>
            </w:r>
            <w:r>
              <w:rPr>
                <w:rFonts w:hint="eastAsia"/>
                <w:color w:val="FF0000"/>
                <w:sz w:val="21"/>
                <w:szCs w:val="21"/>
                <w:lang w:val="en-US" w:eastAsia="zh-CN"/>
                <w14:ligatures w14:val="standardContextual"/>
              </w:rPr>
              <w:t>2</w:t>
            </w:r>
            <w:r>
              <w:rPr>
                <w:rFonts w:hint="eastAsia"/>
                <w:color w:val="FF0000"/>
                <w:sz w:val="21"/>
                <w:szCs w:val="21"/>
                <w:lang w:eastAsia="zh-CN"/>
                <w14:ligatures w14:val="standardContextual"/>
              </w:rPr>
              <w:t>分，最高得</w:t>
            </w:r>
            <w:r>
              <w:rPr>
                <w:rFonts w:hint="eastAsia"/>
                <w:color w:val="FF0000"/>
                <w:sz w:val="21"/>
                <w:szCs w:val="21"/>
                <w:lang w:val="en-US" w:eastAsia="zh-CN"/>
                <w14:ligatures w14:val="standardContextual"/>
              </w:rPr>
              <w:t>2</w:t>
            </w:r>
            <w:r>
              <w:rPr>
                <w:rFonts w:hint="eastAsia"/>
                <w:color w:val="FF0000"/>
                <w:sz w:val="21"/>
                <w:szCs w:val="21"/>
                <w:lang w:eastAsia="zh-CN"/>
                <w14:ligatures w14:val="standardContextual"/>
              </w:rPr>
              <w:t>分。</w:t>
            </w:r>
          </w:p>
          <w:p w14:paraId="3CA4A705">
            <w:pPr>
              <w:spacing w:line="400" w:lineRule="exact"/>
              <w:jc w:val="both"/>
              <w:rPr>
                <w:rFonts w:hint="eastAsia"/>
                <w:sz w:val="21"/>
                <w:szCs w:val="21"/>
              </w:rPr>
            </w:pPr>
            <w:r>
              <w:rPr>
                <w:rFonts w:hint="eastAsia"/>
                <w:b/>
                <w:bCs/>
                <w:sz w:val="21"/>
                <w:szCs w:val="21"/>
                <w14:ligatures w14:val="standardContextual"/>
              </w:rPr>
              <w:t>注：提供证书复印件与投标截止时间前3个月任意一个月在投标人单位购买的社保证明复印件并加盖投标人公章。</w:t>
            </w:r>
          </w:p>
        </w:tc>
      </w:tr>
      <w:tr w14:paraId="65B4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vMerge w:val="continue"/>
            <w:vAlign w:val="center"/>
          </w:tcPr>
          <w:p w14:paraId="397B7169">
            <w:pPr>
              <w:spacing w:line="400" w:lineRule="exact"/>
              <w:jc w:val="center"/>
              <w:rPr>
                <w:sz w:val="21"/>
                <w:szCs w:val="21"/>
              </w:rPr>
            </w:pPr>
          </w:p>
        </w:tc>
        <w:tc>
          <w:tcPr>
            <w:tcW w:w="559" w:type="pct"/>
            <w:vAlign w:val="center"/>
          </w:tcPr>
          <w:p w14:paraId="4FBA9FB0">
            <w:pPr>
              <w:spacing w:line="400" w:lineRule="exact"/>
              <w:jc w:val="center"/>
              <w:rPr>
                <w:rFonts w:hint="eastAsia" w:eastAsia="宋体"/>
                <w:sz w:val="21"/>
                <w:szCs w:val="21"/>
                <w:highlight w:val="none"/>
                <w:lang w:eastAsia="zh-CN"/>
              </w:rPr>
            </w:pPr>
            <w:r>
              <w:rPr>
                <w:rFonts w:hint="eastAsia"/>
                <w:sz w:val="21"/>
                <w:szCs w:val="21"/>
                <w:highlight w:val="none"/>
                <w:lang w:eastAsia="zh-CN"/>
              </w:rPr>
              <w:t>测评工具</w:t>
            </w:r>
          </w:p>
        </w:tc>
        <w:tc>
          <w:tcPr>
            <w:tcW w:w="301" w:type="pct"/>
            <w:vAlign w:val="center"/>
          </w:tcPr>
          <w:p w14:paraId="458CF4E9">
            <w:pPr>
              <w:spacing w:line="400" w:lineRule="exact"/>
              <w:jc w:val="center"/>
              <w:rPr>
                <w:rFonts w:hint="default" w:eastAsia="宋体"/>
                <w:sz w:val="21"/>
                <w:szCs w:val="21"/>
                <w:highlight w:val="none"/>
                <w:lang w:val="en-US" w:eastAsia="zh-CN"/>
              </w:rPr>
            </w:pPr>
            <w:r>
              <w:rPr>
                <w:rFonts w:hint="eastAsia"/>
                <w:sz w:val="21"/>
                <w:szCs w:val="21"/>
                <w:highlight w:val="none"/>
                <w:lang w:val="en-US" w:eastAsia="zh-CN"/>
              </w:rPr>
              <w:t>25</w:t>
            </w:r>
          </w:p>
        </w:tc>
        <w:tc>
          <w:tcPr>
            <w:tcW w:w="3600" w:type="pct"/>
            <w:vAlign w:val="center"/>
          </w:tcPr>
          <w:p w14:paraId="1D1264E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2"/>
                <w:lang w:val="en-US" w:eastAsia="zh-CN" w:bidi="ar-SA"/>
                <w14:ligatures w14:val="standardContextual"/>
              </w:rPr>
            </w:pPr>
            <w:r>
              <w:rPr>
                <w:rFonts w:hint="eastAsia" w:ascii="宋体" w:hAnsi="宋体" w:eastAsia="宋体" w:cs="Times New Roman"/>
                <w:kern w:val="2"/>
                <w:sz w:val="21"/>
                <w:szCs w:val="22"/>
                <w:lang w:val="en-US" w:eastAsia="zh-CN" w:bidi="ar-SA"/>
                <w14:ligatures w14:val="standardContextual"/>
              </w:rPr>
              <w:t>根据投标人对需求文件中“服务工具要求”中的响应情况进行评审，响应服务内容全部满足需求文件中“服务工具要求”的得25分，不满足带“▲”重要服务内容要求的，每项扣3分，扣完为止。注：没有提供</w:t>
            </w:r>
            <w:r>
              <w:rPr>
                <w:rFonts w:hint="eastAsia" w:ascii="宋体" w:hAnsi="宋体" w:eastAsia="宋体" w:cs="Times New Roman"/>
                <w:szCs w:val="22"/>
                <w14:ligatures w14:val="standardContextual"/>
              </w:rPr>
              <w:t>原厂授权书并加盖</w:t>
            </w:r>
            <w:r>
              <w:rPr>
                <w:rFonts w:hint="eastAsia" w:ascii="宋体" w:hAnsi="宋体" w:eastAsia="宋体" w:cs="Times New Roman"/>
                <w:szCs w:val="22"/>
                <w:lang w:eastAsia="zh-CN"/>
                <w14:ligatures w14:val="standardContextual"/>
              </w:rPr>
              <w:t>原厂</w:t>
            </w:r>
            <w:r>
              <w:rPr>
                <w:rFonts w:hint="eastAsia" w:ascii="宋体" w:hAnsi="宋体" w:eastAsia="宋体" w:cs="Times New Roman"/>
                <w:szCs w:val="22"/>
                <w14:ligatures w14:val="standardContextual"/>
              </w:rPr>
              <w:t>公章</w:t>
            </w:r>
            <w:r>
              <w:rPr>
                <w:rFonts w:hint="eastAsia" w:ascii="宋体" w:hAnsi="宋体" w:eastAsia="宋体" w:cs="Times New Roman"/>
                <w:szCs w:val="22"/>
                <w:lang w:eastAsia="zh-CN"/>
                <w14:ligatures w14:val="standardContextual"/>
              </w:rPr>
              <w:t>的不得分。</w:t>
            </w:r>
          </w:p>
        </w:tc>
      </w:tr>
      <w:tr w14:paraId="175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538" w:type="pct"/>
            <w:vMerge w:val="continue"/>
            <w:vAlign w:val="center"/>
          </w:tcPr>
          <w:p w14:paraId="68C6C5B4">
            <w:pPr>
              <w:spacing w:line="400" w:lineRule="exact"/>
              <w:jc w:val="center"/>
              <w:rPr>
                <w:sz w:val="21"/>
                <w:szCs w:val="21"/>
              </w:rPr>
            </w:pPr>
          </w:p>
        </w:tc>
        <w:tc>
          <w:tcPr>
            <w:tcW w:w="559" w:type="pct"/>
            <w:vAlign w:val="center"/>
          </w:tcPr>
          <w:p w14:paraId="2C9B6701">
            <w:pPr>
              <w:spacing w:line="400" w:lineRule="exact"/>
              <w:jc w:val="center"/>
              <w:rPr>
                <w:sz w:val="21"/>
                <w:szCs w:val="21"/>
              </w:rPr>
            </w:pPr>
            <w:r>
              <w:rPr>
                <w:rFonts w:hint="eastAsia"/>
                <w:sz w:val="21"/>
                <w:szCs w:val="21"/>
                <w:lang w:eastAsia="zh-CN"/>
              </w:rPr>
              <w:t>评估</w:t>
            </w:r>
            <w:r>
              <w:rPr>
                <w:rFonts w:hint="eastAsia"/>
                <w:sz w:val="21"/>
                <w:szCs w:val="21"/>
              </w:rPr>
              <w:t>方案</w:t>
            </w:r>
          </w:p>
        </w:tc>
        <w:tc>
          <w:tcPr>
            <w:tcW w:w="301" w:type="pct"/>
            <w:vAlign w:val="center"/>
          </w:tcPr>
          <w:p w14:paraId="60CB5852">
            <w:pPr>
              <w:spacing w:line="400" w:lineRule="exact"/>
              <w:jc w:val="center"/>
              <w:rPr>
                <w:sz w:val="21"/>
                <w:szCs w:val="21"/>
                <w:lang w:val="en-US"/>
              </w:rPr>
            </w:pPr>
            <w:r>
              <w:rPr>
                <w:rFonts w:hint="eastAsia"/>
                <w:sz w:val="21"/>
                <w:szCs w:val="21"/>
                <w:lang w:val="en-US"/>
              </w:rPr>
              <w:t>10</w:t>
            </w:r>
          </w:p>
        </w:tc>
        <w:tc>
          <w:tcPr>
            <w:tcW w:w="3600" w:type="pct"/>
            <w:vAlign w:val="center"/>
          </w:tcPr>
          <w:p w14:paraId="4673CDD8">
            <w:pPr>
              <w:spacing w:line="360" w:lineRule="auto"/>
              <w:rPr>
                <w:rFonts w:hint="eastAsia"/>
                <w:sz w:val="21"/>
                <w:szCs w:val="21"/>
              </w:rPr>
            </w:pPr>
            <w:r>
              <w:rPr>
                <w:rFonts w:hint="eastAsia" w:ascii="宋体" w:hAnsi="宋体" w:eastAsia="宋体" w:cs="宋体"/>
                <w:szCs w:val="22"/>
                <w14:ligatures w14:val="standardContextual"/>
              </w:rPr>
              <w:t>投标人需根据项目实施要求和项目实际情况，提供</w:t>
            </w:r>
            <w:r>
              <w:rPr>
                <w:rFonts w:hint="eastAsia"/>
                <w:sz w:val="21"/>
                <w:szCs w:val="21"/>
                <w:lang w:eastAsia="zh-CN"/>
              </w:rPr>
              <w:t>评估</w:t>
            </w:r>
            <w:r>
              <w:rPr>
                <w:rFonts w:hint="eastAsia"/>
                <w:sz w:val="21"/>
                <w:szCs w:val="21"/>
              </w:rPr>
              <w:t>方案</w:t>
            </w:r>
            <w:r>
              <w:rPr>
                <w:rFonts w:hint="eastAsia" w:ascii="宋体" w:hAnsi="宋体" w:eastAsia="宋体" w:cs="宋体"/>
                <w:szCs w:val="22"/>
                <w14:ligatures w14:val="standardContextual"/>
              </w:rPr>
              <w:t>。根据</w:t>
            </w:r>
            <w:r>
              <w:rPr>
                <w:rFonts w:hint="eastAsia"/>
                <w:sz w:val="21"/>
                <w:szCs w:val="21"/>
              </w:rPr>
              <w:t>方案</w:t>
            </w:r>
            <w:r>
              <w:rPr>
                <w:rFonts w:hint="eastAsia" w:ascii="宋体" w:hAnsi="宋体" w:eastAsia="宋体" w:cs="宋体"/>
                <w:szCs w:val="22"/>
                <w14:ligatures w14:val="standardContextual"/>
              </w:rPr>
              <w:t>的科学性、合理性，可行性及完整性进行评审</w:t>
            </w:r>
            <w:r>
              <w:rPr>
                <w:rFonts w:hint="eastAsia" w:ascii="宋体" w:hAnsi="宋体" w:eastAsia="宋体" w:cs="宋体"/>
                <w:szCs w:val="22"/>
                <w:lang w:eastAsia="zh-CN"/>
                <w14:ligatures w14:val="standardContextual"/>
              </w:rPr>
              <w:t>；</w:t>
            </w:r>
          </w:p>
          <w:p w14:paraId="74081C26">
            <w:pPr>
              <w:spacing w:line="400" w:lineRule="exact"/>
              <w:jc w:val="both"/>
              <w:rPr>
                <w:sz w:val="21"/>
                <w:szCs w:val="21"/>
              </w:rPr>
            </w:pPr>
            <w:r>
              <w:rPr>
                <w:rFonts w:hint="eastAsia"/>
                <w:sz w:val="21"/>
                <w:szCs w:val="21"/>
              </w:rPr>
              <w:t>优：方案详细、具体，内容齐全，能满足本</w:t>
            </w:r>
            <w:r>
              <w:rPr>
                <w:rFonts w:hint="eastAsia"/>
                <w:sz w:val="21"/>
                <w:szCs w:val="21"/>
                <w:lang w:eastAsia="zh-CN"/>
              </w:rPr>
              <w:t>项目</w:t>
            </w:r>
            <w:r>
              <w:rPr>
                <w:rFonts w:hint="eastAsia"/>
                <w:sz w:val="21"/>
                <w:szCs w:val="21"/>
              </w:rPr>
              <w:t>提出的所有</w:t>
            </w:r>
            <w:r>
              <w:rPr>
                <w:rFonts w:hint="eastAsia"/>
                <w:sz w:val="21"/>
                <w:szCs w:val="21"/>
                <w:lang w:eastAsia="zh-CN"/>
              </w:rPr>
              <w:t>要求</w:t>
            </w:r>
            <w:r>
              <w:rPr>
                <w:rFonts w:hint="eastAsia"/>
                <w:sz w:val="21"/>
                <w:szCs w:val="21"/>
              </w:rPr>
              <w:t>，有合理可行的保证通过相关验收、满足</w:t>
            </w:r>
            <w:r>
              <w:rPr>
                <w:rFonts w:hint="eastAsia"/>
                <w:sz w:val="21"/>
                <w:szCs w:val="21"/>
                <w:lang w:eastAsia="zh-CN"/>
              </w:rPr>
              <w:t>测评</w:t>
            </w:r>
            <w:r>
              <w:rPr>
                <w:rFonts w:hint="eastAsia"/>
                <w:sz w:val="21"/>
                <w:szCs w:val="21"/>
              </w:rPr>
              <w:t>进度确保措施，得（</w:t>
            </w:r>
            <w:r>
              <w:rPr>
                <w:rFonts w:hint="eastAsia"/>
                <w:sz w:val="21"/>
                <w:szCs w:val="21"/>
                <w:lang w:val="en-US" w:eastAsia="zh-CN"/>
              </w:rPr>
              <w:t>8</w:t>
            </w:r>
            <w:r>
              <w:rPr>
                <w:rFonts w:hint="eastAsia"/>
                <w:sz w:val="21"/>
                <w:szCs w:val="21"/>
                <w:lang w:val="en-US"/>
              </w:rPr>
              <w:t>-10</w:t>
            </w:r>
            <w:r>
              <w:rPr>
                <w:rFonts w:hint="eastAsia"/>
                <w:sz w:val="21"/>
                <w:szCs w:val="21"/>
                <w:lang w:val="en-US" w:eastAsia="zh-CN"/>
              </w:rPr>
              <w:t>）</w:t>
            </w:r>
            <w:r>
              <w:rPr>
                <w:rFonts w:hint="eastAsia"/>
                <w:sz w:val="21"/>
                <w:szCs w:val="21"/>
              </w:rPr>
              <w:t>分；</w:t>
            </w:r>
          </w:p>
          <w:p w14:paraId="762CE040">
            <w:pPr>
              <w:spacing w:line="400" w:lineRule="exact"/>
              <w:jc w:val="both"/>
              <w:rPr>
                <w:sz w:val="21"/>
                <w:szCs w:val="21"/>
              </w:rPr>
            </w:pPr>
            <w:r>
              <w:rPr>
                <w:rFonts w:hint="eastAsia"/>
                <w:sz w:val="21"/>
                <w:szCs w:val="21"/>
              </w:rPr>
              <w:t>良：方案较详细、较具体，内容较齐全，有比较可行的保证通过相关验收、满足</w:t>
            </w:r>
            <w:r>
              <w:rPr>
                <w:rFonts w:hint="eastAsia"/>
                <w:sz w:val="21"/>
                <w:szCs w:val="21"/>
                <w:lang w:eastAsia="zh-CN"/>
              </w:rPr>
              <w:t>项目</w:t>
            </w:r>
            <w:r>
              <w:rPr>
                <w:rFonts w:hint="eastAsia"/>
                <w:sz w:val="21"/>
                <w:szCs w:val="21"/>
              </w:rPr>
              <w:t>进度确保措施，得（</w:t>
            </w:r>
            <w:r>
              <w:rPr>
                <w:rFonts w:hint="eastAsia"/>
                <w:sz w:val="21"/>
                <w:szCs w:val="21"/>
                <w:lang w:val="en-US"/>
              </w:rPr>
              <w:t>5-</w:t>
            </w:r>
            <w:r>
              <w:rPr>
                <w:rFonts w:hint="eastAsia"/>
                <w:sz w:val="21"/>
                <w:szCs w:val="21"/>
                <w:lang w:val="en-US" w:eastAsia="zh-CN"/>
              </w:rPr>
              <w:t>7）</w:t>
            </w:r>
            <w:r>
              <w:rPr>
                <w:rFonts w:hint="eastAsia"/>
                <w:sz w:val="21"/>
                <w:szCs w:val="21"/>
              </w:rPr>
              <w:t>分；</w:t>
            </w:r>
          </w:p>
          <w:p w14:paraId="32A40098">
            <w:pPr>
              <w:spacing w:line="400" w:lineRule="exact"/>
              <w:jc w:val="both"/>
              <w:rPr>
                <w:sz w:val="21"/>
                <w:szCs w:val="21"/>
              </w:rPr>
            </w:pPr>
            <w:r>
              <w:rPr>
                <w:rFonts w:hint="eastAsia"/>
                <w:sz w:val="21"/>
                <w:szCs w:val="21"/>
              </w:rPr>
              <w:t>中：方案基本内容满足要求，方法符合规范要求，有能通过相关验收、满足</w:t>
            </w:r>
            <w:r>
              <w:rPr>
                <w:rFonts w:hint="eastAsia"/>
                <w:sz w:val="21"/>
                <w:szCs w:val="21"/>
                <w:lang w:eastAsia="zh-CN"/>
              </w:rPr>
              <w:t>项目</w:t>
            </w:r>
            <w:r>
              <w:rPr>
                <w:rFonts w:hint="eastAsia"/>
                <w:sz w:val="21"/>
                <w:szCs w:val="21"/>
              </w:rPr>
              <w:t>进度的确保措施，得（</w:t>
            </w:r>
            <w:r>
              <w:rPr>
                <w:rFonts w:hint="eastAsia"/>
                <w:sz w:val="21"/>
                <w:szCs w:val="21"/>
                <w:lang w:val="en-US"/>
              </w:rPr>
              <w:t>2-</w:t>
            </w:r>
            <w:r>
              <w:rPr>
                <w:rFonts w:hint="eastAsia"/>
                <w:sz w:val="21"/>
                <w:szCs w:val="21"/>
                <w:lang w:val="en-US" w:eastAsia="zh-CN"/>
              </w:rPr>
              <w:t>4）</w:t>
            </w:r>
            <w:r>
              <w:rPr>
                <w:rFonts w:hint="eastAsia"/>
                <w:sz w:val="21"/>
                <w:szCs w:val="21"/>
              </w:rPr>
              <w:t>分；</w:t>
            </w:r>
          </w:p>
          <w:p w14:paraId="58B79F1C">
            <w:pPr>
              <w:spacing w:line="400" w:lineRule="exact"/>
              <w:jc w:val="both"/>
              <w:rPr>
                <w:sz w:val="21"/>
                <w:szCs w:val="21"/>
              </w:rPr>
            </w:pPr>
            <w:r>
              <w:rPr>
                <w:rFonts w:hint="eastAsia"/>
                <w:sz w:val="21"/>
                <w:szCs w:val="21"/>
              </w:rPr>
              <w:t>差</w:t>
            </w:r>
            <w:r>
              <w:rPr>
                <w:rFonts w:hint="eastAsia"/>
                <w:sz w:val="21"/>
                <w:szCs w:val="21"/>
                <w:lang w:eastAsia="zh-CN"/>
              </w:rPr>
              <w:t>：</w:t>
            </w:r>
            <w:r>
              <w:rPr>
                <w:rFonts w:hint="eastAsia"/>
                <w:sz w:val="21"/>
                <w:szCs w:val="21"/>
              </w:rPr>
              <w:t>方案基本内容阐述缺项，方法不能满足</w:t>
            </w:r>
            <w:r>
              <w:rPr>
                <w:rFonts w:hint="eastAsia"/>
                <w:sz w:val="21"/>
                <w:szCs w:val="21"/>
                <w:lang w:val="en-US" w:eastAsia="zh-CN"/>
              </w:rPr>
              <w:t>测评</w:t>
            </w:r>
            <w:r>
              <w:rPr>
                <w:rFonts w:hint="eastAsia"/>
                <w:sz w:val="21"/>
                <w:szCs w:val="21"/>
              </w:rPr>
              <w:t>要求，得（</w:t>
            </w:r>
            <w:r>
              <w:rPr>
                <w:rFonts w:hint="eastAsia"/>
                <w:sz w:val="21"/>
                <w:szCs w:val="21"/>
                <w:lang w:val="en-US"/>
              </w:rPr>
              <w:t>0-</w:t>
            </w:r>
            <w:r>
              <w:rPr>
                <w:rFonts w:hint="eastAsia"/>
                <w:sz w:val="21"/>
                <w:szCs w:val="21"/>
                <w:lang w:val="en-US" w:eastAsia="zh-CN"/>
              </w:rPr>
              <w:t>1）</w:t>
            </w:r>
            <w:r>
              <w:rPr>
                <w:rFonts w:hint="eastAsia"/>
                <w:sz w:val="21"/>
                <w:szCs w:val="21"/>
              </w:rPr>
              <w:t>分。</w:t>
            </w:r>
          </w:p>
        </w:tc>
      </w:tr>
      <w:tr w14:paraId="70FB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38" w:type="pct"/>
            <w:vMerge w:val="continue"/>
            <w:vAlign w:val="center"/>
          </w:tcPr>
          <w:p w14:paraId="51F4537E">
            <w:pPr>
              <w:spacing w:line="400" w:lineRule="exact"/>
              <w:jc w:val="center"/>
              <w:rPr>
                <w:sz w:val="21"/>
                <w:szCs w:val="21"/>
              </w:rPr>
            </w:pPr>
          </w:p>
        </w:tc>
        <w:tc>
          <w:tcPr>
            <w:tcW w:w="559" w:type="pct"/>
            <w:vAlign w:val="center"/>
          </w:tcPr>
          <w:p w14:paraId="7EC72D3F">
            <w:pPr>
              <w:pStyle w:val="8"/>
              <w:rPr>
                <w:sz w:val="21"/>
                <w:szCs w:val="21"/>
                <w:lang w:val="en-US"/>
              </w:rPr>
            </w:pPr>
            <w:r>
              <w:rPr>
                <w:rFonts w:hint="eastAsia" w:ascii="宋体" w:hAnsi="宋体" w:eastAsia="宋体" w:cs="宋体"/>
                <w:sz w:val="21"/>
                <w:szCs w:val="21"/>
              </w:rPr>
              <w:t>项目管理控制</w:t>
            </w:r>
          </w:p>
        </w:tc>
        <w:tc>
          <w:tcPr>
            <w:tcW w:w="301" w:type="pct"/>
            <w:vAlign w:val="center"/>
          </w:tcPr>
          <w:p w14:paraId="5515F559">
            <w:pPr>
              <w:spacing w:line="400" w:lineRule="exact"/>
              <w:jc w:val="center"/>
              <w:rPr>
                <w:rFonts w:hint="default" w:eastAsiaTheme="minorEastAsia"/>
                <w:sz w:val="21"/>
                <w:szCs w:val="21"/>
                <w:lang w:val="en-US" w:eastAsia="zh-CN"/>
              </w:rPr>
            </w:pPr>
            <w:r>
              <w:rPr>
                <w:rFonts w:hint="eastAsia"/>
                <w:sz w:val="21"/>
                <w:szCs w:val="21"/>
                <w:lang w:val="en-US" w:eastAsia="zh-CN"/>
              </w:rPr>
              <w:t>10</w:t>
            </w:r>
          </w:p>
        </w:tc>
        <w:tc>
          <w:tcPr>
            <w:tcW w:w="3600" w:type="pct"/>
            <w:vAlign w:val="center"/>
          </w:tcPr>
          <w:p w14:paraId="4826511A">
            <w:pPr>
              <w:spacing w:line="360" w:lineRule="auto"/>
              <w:rPr>
                <w:rFonts w:hint="eastAsia"/>
                <w:sz w:val="21"/>
                <w:szCs w:val="21"/>
                <w:lang w:val="en-US"/>
              </w:rPr>
            </w:pPr>
            <w:r>
              <w:rPr>
                <w:rFonts w:hint="eastAsia" w:ascii="宋体" w:hAnsi="宋体" w:eastAsia="宋体" w:cs="宋体"/>
                <w:szCs w:val="22"/>
                <w14:ligatures w14:val="standardContextual"/>
              </w:rPr>
              <w:t>投标人需根据项目实施要求和项目实际情况，提供</w:t>
            </w:r>
            <w:r>
              <w:rPr>
                <w:rFonts w:hint="eastAsia" w:ascii="宋体" w:hAnsi="宋体" w:eastAsia="宋体" w:cs="宋体"/>
                <w:sz w:val="21"/>
                <w:szCs w:val="21"/>
              </w:rPr>
              <w:t>项目管理控制</w:t>
            </w:r>
            <w:r>
              <w:rPr>
                <w:rFonts w:hint="eastAsia" w:ascii="宋体" w:hAnsi="宋体" w:eastAsia="宋体" w:cs="宋体"/>
                <w:sz w:val="21"/>
                <w:szCs w:val="21"/>
                <w:lang w:eastAsia="zh-CN"/>
              </w:rPr>
              <w:t>方案</w:t>
            </w:r>
            <w:r>
              <w:rPr>
                <w:rFonts w:hint="eastAsia" w:ascii="宋体" w:hAnsi="宋体" w:eastAsia="宋体" w:cs="宋体"/>
                <w:szCs w:val="22"/>
                <w14:ligatures w14:val="standardContextual"/>
              </w:rPr>
              <w:t>。根据</w:t>
            </w:r>
            <w:r>
              <w:rPr>
                <w:rFonts w:hint="eastAsia" w:ascii="宋体" w:hAnsi="宋体" w:eastAsia="宋体" w:cs="宋体"/>
                <w:sz w:val="21"/>
                <w:szCs w:val="21"/>
              </w:rPr>
              <w:t>项目管理控制</w:t>
            </w:r>
            <w:r>
              <w:rPr>
                <w:rFonts w:hint="eastAsia" w:ascii="宋体" w:hAnsi="宋体" w:eastAsia="宋体" w:cs="宋体"/>
                <w:szCs w:val="22"/>
                <w14:ligatures w14:val="standardContextual"/>
              </w:rPr>
              <w:t>的科学性、合理性，可行性及完整性进行评审</w:t>
            </w:r>
            <w:r>
              <w:rPr>
                <w:rFonts w:hint="eastAsia" w:ascii="宋体" w:hAnsi="宋体" w:eastAsia="宋体" w:cs="宋体"/>
                <w:szCs w:val="22"/>
                <w:lang w:eastAsia="zh-CN"/>
                <w14:ligatures w14:val="standardContextual"/>
              </w:rPr>
              <w:t>；</w:t>
            </w:r>
          </w:p>
          <w:p w14:paraId="46724853">
            <w:pPr>
              <w:spacing w:line="400" w:lineRule="exact"/>
              <w:jc w:val="both"/>
              <w:rPr>
                <w:sz w:val="21"/>
                <w:szCs w:val="21"/>
              </w:rPr>
            </w:pPr>
            <w:r>
              <w:rPr>
                <w:rFonts w:hint="eastAsia"/>
                <w:sz w:val="21"/>
                <w:szCs w:val="21"/>
                <w:lang w:val="en-US"/>
              </w:rPr>
              <w:t>优：项目管理计划</w:t>
            </w:r>
            <w:r>
              <w:rPr>
                <w:rFonts w:hint="eastAsia"/>
                <w:sz w:val="21"/>
                <w:szCs w:val="21"/>
              </w:rPr>
              <w:t>全面，合理、有针对性，对</w:t>
            </w:r>
            <w:r>
              <w:rPr>
                <w:rFonts w:hint="eastAsia"/>
                <w:sz w:val="21"/>
                <w:szCs w:val="21"/>
                <w:lang w:eastAsia="zh-CN"/>
              </w:rPr>
              <w:t>项目</w:t>
            </w:r>
            <w:r>
              <w:rPr>
                <w:rFonts w:hint="eastAsia"/>
                <w:sz w:val="21"/>
                <w:szCs w:val="21"/>
              </w:rPr>
              <w:t>实施有指导意义得（</w:t>
            </w:r>
            <w:r>
              <w:rPr>
                <w:rFonts w:hint="eastAsia"/>
                <w:sz w:val="21"/>
                <w:szCs w:val="21"/>
                <w:lang w:val="en-US" w:eastAsia="zh-CN"/>
              </w:rPr>
              <w:t>8</w:t>
            </w:r>
            <w:r>
              <w:rPr>
                <w:rFonts w:hint="eastAsia"/>
                <w:sz w:val="21"/>
                <w:szCs w:val="21"/>
                <w:lang w:val="en-US"/>
              </w:rPr>
              <w:t>-10</w:t>
            </w:r>
            <w:r>
              <w:rPr>
                <w:rFonts w:hint="eastAsia"/>
                <w:sz w:val="21"/>
                <w:szCs w:val="21"/>
                <w:lang w:val="en-US" w:eastAsia="zh-CN"/>
              </w:rPr>
              <w:t>）</w:t>
            </w:r>
            <w:r>
              <w:rPr>
                <w:rFonts w:hint="eastAsia"/>
                <w:sz w:val="21"/>
                <w:szCs w:val="21"/>
              </w:rPr>
              <w:t>分；</w:t>
            </w:r>
          </w:p>
          <w:p w14:paraId="294D6EB2">
            <w:pPr>
              <w:spacing w:line="400" w:lineRule="exact"/>
              <w:jc w:val="both"/>
              <w:rPr>
                <w:sz w:val="21"/>
                <w:szCs w:val="21"/>
              </w:rPr>
            </w:pPr>
            <w:r>
              <w:rPr>
                <w:rFonts w:hint="eastAsia"/>
                <w:sz w:val="21"/>
                <w:szCs w:val="21"/>
                <w:lang w:val="en-US"/>
              </w:rPr>
              <w:t>良：项目管理计划</w:t>
            </w:r>
            <w:r>
              <w:rPr>
                <w:rFonts w:hint="eastAsia"/>
                <w:sz w:val="21"/>
                <w:szCs w:val="21"/>
              </w:rPr>
              <w:t>到位，以及制定采取的应对措施可行和高效得（</w:t>
            </w:r>
            <w:r>
              <w:rPr>
                <w:rFonts w:hint="eastAsia"/>
                <w:sz w:val="21"/>
                <w:szCs w:val="21"/>
                <w:lang w:val="en-US"/>
              </w:rPr>
              <w:t>5-7</w:t>
            </w:r>
            <w:r>
              <w:rPr>
                <w:rFonts w:hint="eastAsia"/>
                <w:sz w:val="21"/>
                <w:szCs w:val="21"/>
                <w:lang w:val="en-US" w:eastAsia="zh-CN"/>
              </w:rPr>
              <w:t>）</w:t>
            </w:r>
            <w:r>
              <w:rPr>
                <w:rFonts w:hint="eastAsia"/>
                <w:sz w:val="21"/>
                <w:szCs w:val="21"/>
              </w:rPr>
              <w:t>分；</w:t>
            </w:r>
          </w:p>
          <w:p w14:paraId="1A9C74A3">
            <w:pPr>
              <w:spacing w:line="400" w:lineRule="exact"/>
              <w:jc w:val="both"/>
              <w:rPr>
                <w:sz w:val="21"/>
                <w:szCs w:val="21"/>
                <w:lang w:val="en-US"/>
              </w:rPr>
            </w:pPr>
            <w:r>
              <w:rPr>
                <w:rFonts w:hint="eastAsia"/>
                <w:sz w:val="21"/>
                <w:szCs w:val="21"/>
                <w:lang w:val="en-US"/>
              </w:rPr>
              <w:t>中：项目管理计划</w:t>
            </w:r>
            <w:r>
              <w:rPr>
                <w:rFonts w:hint="eastAsia"/>
                <w:sz w:val="21"/>
                <w:szCs w:val="21"/>
              </w:rPr>
              <w:t>基本到位，以及制定采取的应对措施较为可行和高效得（</w:t>
            </w:r>
            <w:r>
              <w:rPr>
                <w:rFonts w:hint="eastAsia"/>
                <w:sz w:val="21"/>
                <w:szCs w:val="21"/>
                <w:lang w:val="en-US"/>
              </w:rPr>
              <w:t>2-</w:t>
            </w:r>
            <w:r>
              <w:rPr>
                <w:rFonts w:hint="eastAsia"/>
                <w:sz w:val="21"/>
                <w:szCs w:val="21"/>
                <w:lang w:val="en-US" w:eastAsia="zh-CN"/>
              </w:rPr>
              <w:t>4）</w:t>
            </w:r>
            <w:r>
              <w:rPr>
                <w:rFonts w:hint="eastAsia"/>
                <w:sz w:val="21"/>
                <w:szCs w:val="21"/>
              </w:rPr>
              <w:t>分；</w:t>
            </w:r>
          </w:p>
          <w:p w14:paraId="7F33601C">
            <w:pPr>
              <w:spacing w:line="400" w:lineRule="exact"/>
              <w:jc w:val="both"/>
              <w:rPr>
                <w:sz w:val="21"/>
                <w:szCs w:val="21"/>
              </w:rPr>
            </w:pPr>
            <w:r>
              <w:rPr>
                <w:rFonts w:hint="eastAsia"/>
                <w:sz w:val="21"/>
                <w:szCs w:val="21"/>
                <w:lang w:val="en-US"/>
              </w:rPr>
              <w:t>差：项目管理计划</w:t>
            </w:r>
            <w:r>
              <w:rPr>
                <w:rFonts w:hint="eastAsia"/>
                <w:sz w:val="21"/>
                <w:szCs w:val="21"/>
              </w:rPr>
              <w:t>不够到位，以及制定采取的应对措施合理得（</w:t>
            </w:r>
            <w:r>
              <w:rPr>
                <w:rFonts w:hint="eastAsia"/>
                <w:sz w:val="21"/>
                <w:szCs w:val="21"/>
                <w:lang w:val="en-US"/>
              </w:rPr>
              <w:t>0</w:t>
            </w:r>
            <w:r>
              <w:rPr>
                <w:rFonts w:hint="eastAsia"/>
                <w:sz w:val="21"/>
                <w:szCs w:val="21"/>
              </w:rPr>
              <w:t>-</w:t>
            </w:r>
            <w:r>
              <w:rPr>
                <w:rFonts w:hint="eastAsia"/>
                <w:sz w:val="21"/>
                <w:szCs w:val="21"/>
                <w:lang w:val="en-US"/>
              </w:rPr>
              <w:t>1</w:t>
            </w:r>
            <w:r>
              <w:rPr>
                <w:rFonts w:hint="eastAsia"/>
                <w:sz w:val="21"/>
                <w:szCs w:val="21"/>
                <w:lang w:val="en-US" w:eastAsia="zh-CN"/>
              </w:rPr>
              <w:t>）</w:t>
            </w:r>
            <w:r>
              <w:rPr>
                <w:rFonts w:hint="eastAsia"/>
                <w:sz w:val="21"/>
                <w:szCs w:val="21"/>
              </w:rPr>
              <w:t>分。</w:t>
            </w:r>
          </w:p>
        </w:tc>
      </w:tr>
      <w:tr w14:paraId="5605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538" w:type="pct"/>
            <w:vAlign w:val="center"/>
          </w:tcPr>
          <w:p w14:paraId="0F9B7301">
            <w:pPr>
              <w:spacing w:line="400" w:lineRule="exact"/>
              <w:jc w:val="center"/>
              <w:rPr>
                <w:sz w:val="21"/>
                <w:szCs w:val="21"/>
              </w:rPr>
            </w:pPr>
            <w:r>
              <w:rPr>
                <w:rFonts w:hint="eastAsia"/>
                <w:sz w:val="21"/>
                <w:szCs w:val="21"/>
              </w:rPr>
              <w:t>经济部分</w:t>
            </w:r>
          </w:p>
        </w:tc>
        <w:tc>
          <w:tcPr>
            <w:tcW w:w="559" w:type="pct"/>
            <w:vAlign w:val="center"/>
          </w:tcPr>
          <w:p w14:paraId="5997B299">
            <w:pPr>
              <w:spacing w:line="400" w:lineRule="exact"/>
              <w:jc w:val="center"/>
              <w:rPr>
                <w:sz w:val="21"/>
                <w:szCs w:val="21"/>
              </w:rPr>
            </w:pPr>
            <w:r>
              <w:rPr>
                <w:rFonts w:hint="eastAsia"/>
                <w:sz w:val="21"/>
                <w:szCs w:val="21"/>
              </w:rPr>
              <w:t>投标报价</w:t>
            </w:r>
          </w:p>
        </w:tc>
        <w:tc>
          <w:tcPr>
            <w:tcW w:w="301" w:type="pct"/>
            <w:vAlign w:val="center"/>
          </w:tcPr>
          <w:p w14:paraId="2BAB6B21">
            <w:pPr>
              <w:spacing w:line="400" w:lineRule="exact"/>
              <w:jc w:val="center"/>
              <w:rPr>
                <w:rFonts w:hint="default" w:eastAsiaTheme="minorEastAsia"/>
                <w:sz w:val="21"/>
                <w:szCs w:val="21"/>
                <w:lang w:val="en-US" w:eastAsia="zh-CN"/>
              </w:rPr>
            </w:pPr>
            <w:r>
              <w:rPr>
                <w:rFonts w:hint="eastAsia"/>
                <w:sz w:val="21"/>
                <w:szCs w:val="21"/>
                <w:lang w:val="en-US" w:eastAsia="zh-CN"/>
              </w:rPr>
              <w:t>10</w:t>
            </w:r>
          </w:p>
        </w:tc>
        <w:tc>
          <w:tcPr>
            <w:tcW w:w="3600" w:type="pct"/>
            <w:vAlign w:val="center"/>
          </w:tcPr>
          <w:p w14:paraId="3EF5202B">
            <w:pPr>
              <w:autoSpaceDE w:val="0"/>
              <w:autoSpaceDN w:val="0"/>
              <w:adjustRightInd w:val="0"/>
              <w:snapToGrid w:val="0"/>
              <w:spacing w:line="360" w:lineRule="auto"/>
              <w:jc w:val="left"/>
              <w:rPr>
                <w:rFonts w:ascii="Times New Roman" w:hAnsi="Times New Roman" w:eastAsia="宋体"/>
                <w:bCs/>
                <w:snapToGrid w:val="0"/>
                <w:sz w:val="21"/>
                <w:szCs w:val="21"/>
              </w:rPr>
            </w:pPr>
            <w:r>
              <w:rPr>
                <w:rFonts w:ascii="Times New Roman" w:hAnsi="Times New Roman" w:eastAsia="宋体"/>
                <w:bCs/>
                <w:snapToGrid w:val="0"/>
                <w:sz w:val="21"/>
                <w:szCs w:val="21"/>
              </w:rPr>
              <w:t>1、</w:t>
            </w:r>
            <w:r>
              <w:rPr>
                <w:rFonts w:hint="eastAsia" w:ascii="Times New Roman" w:hAnsi="Times New Roman" w:eastAsia="宋体"/>
                <w:bCs/>
                <w:snapToGrid w:val="0"/>
                <w:sz w:val="21"/>
                <w:szCs w:val="21"/>
                <w:lang w:eastAsia="zh-CN"/>
              </w:rPr>
              <w:t>投标</w:t>
            </w:r>
            <w:r>
              <w:rPr>
                <w:rFonts w:ascii="Times New Roman" w:hAnsi="Times New Roman" w:eastAsia="宋体"/>
                <w:bCs/>
                <w:snapToGrid w:val="0"/>
                <w:sz w:val="21"/>
                <w:szCs w:val="21"/>
              </w:rPr>
              <w:t>人的响应报价低于最高限价的60%时，须提交详细的成本分析报告[包括但不限于</w:t>
            </w:r>
            <w:r>
              <w:rPr>
                <w:rFonts w:hint="eastAsia" w:ascii="Times New Roman" w:hAnsi="Times New Roman" w:eastAsia="宋体"/>
                <w:bCs/>
                <w:snapToGrid w:val="0"/>
                <w:sz w:val="21"/>
                <w:szCs w:val="21"/>
                <w:lang w:eastAsia="zh-CN"/>
              </w:rPr>
              <w:t>投标</w:t>
            </w:r>
            <w:r>
              <w:rPr>
                <w:rFonts w:ascii="Times New Roman" w:hAnsi="Times New Roman" w:eastAsia="宋体"/>
                <w:bCs/>
                <w:snapToGrid w:val="0"/>
                <w:sz w:val="21"/>
                <w:szCs w:val="21"/>
              </w:rPr>
              <w:t>人财务成本、开发时间以及项目的人员配备、工资支出等项目实施过程中可能涉及的费用]，以证明报价的合理性，否则作无效应答处理。</w:t>
            </w:r>
          </w:p>
          <w:p w14:paraId="5CDFE966">
            <w:pPr>
              <w:autoSpaceDE w:val="0"/>
              <w:autoSpaceDN w:val="0"/>
              <w:adjustRightInd w:val="0"/>
              <w:snapToGrid w:val="0"/>
              <w:spacing w:line="360" w:lineRule="auto"/>
              <w:jc w:val="left"/>
              <w:rPr>
                <w:rFonts w:ascii="Times New Roman" w:hAnsi="Times New Roman" w:eastAsia="宋体"/>
                <w:bCs/>
                <w:snapToGrid w:val="0"/>
                <w:sz w:val="21"/>
                <w:szCs w:val="21"/>
              </w:rPr>
            </w:pPr>
            <w:r>
              <w:rPr>
                <w:rFonts w:ascii="Times New Roman" w:hAnsi="Times New Roman" w:eastAsia="宋体"/>
                <w:bCs/>
                <w:snapToGrid w:val="0"/>
                <w:sz w:val="21"/>
                <w:szCs w:val="21"/>
              </w:rPr>
              <w:t>2、经济分统一采用低价优先法计算，即满足要求且最后磋商报价有效的最低的供应商的价格为评标基准价，其价格分为满分。其他供应商的价格分统一按照下列公式计算：</w:t>
            </w:r>
          </w:p>
          <w:p w14:paraId="743951D8">
            <w:pPr>
              <w:spacing w:line="400" w:lineRule="exact"/>
              <w:jc w:val="both"/>
              <w:rPr>
                <w:sz w:val="21"/>
                <w:szCs w:val="21"/>
              </w:rPr>
            </w:pPr>
            <w:r>
              <w:rPr>
                <w:rFonts w:hint="eastAsia" w:ascii="Times New Roman" w:hAnsi="Times New Roman" w:eastAsia="宋体"/>
                <w:b/>
                <w:bCs w:val="0"/>
                <w:snapToGrid w:val="0"/>
                <w:sz w:val="21"/>
                <w:szCs w:val="21"/>
              </w:rPr>
              <w:t>报价得分</w:t>
            </w:r>
            <w:r>
              <w:rPr>
                <w:rFonts w:ascii="Times New Roman" w:hAnsi="Times New Roman" w:eastAsia="宋体"/>
                <w:b/>
                <w:bCs w:val="0"/>
                <w:snapToGrid w:val="0"/>
                <w:sz w:val="21"/>
                <w:szCs w:val="21"/>
              </w:rPr>
              <w:t>=（基准价/最后报价）×价格权值</w:t>
            </w:r>
          </w:p>
        </w:tc>
      </w:tr>
    </w:tbl>
    <w:p w14:paraId="37DC11CD"/>
    <w:p w14:paraId="1AF80979">
      <w:pPr>
        <w:spacing w:line="360" w:lineRule="auto"/>
        <w:rPr>
          <w:rFonts w:ascii="宋体" w:hAnsi="宋体" w:eastAsia="宋体" w:cs="宋体"/>
          <w:szCs w:val="22"/>
          <w14:ligatures w14:val="standardContextual"/>
        </w:rPr>
      </w:pPr>
    </w:p>
    <w:bookmarkEnd w:id="0"/>
    <w:p w14:paraId="77D19D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Microsoft YaHei UI">
    <w:altName w:val="宋体"/>
    <w:panose1 w:val="020B0503020204020204"/>
    <w:charset w:val="86"/>
    <w:family w:val="auto"/>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NzYzMGE3ZDkyZTZjZmI1YzI0NDRiMDJiYjcwMjYifQ=="/>
  </w:docVars>
  <w:rsids>
    <w:rsidRoot w:val="6F555B04"/>
    <w:rsid w:val="0062175D"/>
    <w:rsid w:val="00750E1B"/>
    <w:rsid w:val="0084416A"/>
    <w:rsid w:val="00F45662"/>
    <w:rsid w:val="020F09CB"/>
    <w:rsid w:val="03422CA7"/>
    <w:rsid w:val="03C81C0C"/>
    <w:rsid w:val="04F574FF"/>
    <w:rsid w:val="07996C3F"/>
    <w:rsid w:val="08532CFE"/>
    <w:rsid w:val="08C47BC9"/>
    <w:rsid w:val="0AB34861"/>
    <w:rsid w:val="0BF356AA"/>
    <w:rsid w:val="0D1F5CE4"/>
    <w:rsid w:val="0E741031"/>
    <w:rsid w:val="0EAE0089"/>
    <w:rsid w:val="0ED85C79"/>
    <w:rsid w:val="0F5512C6"/>
    <w:rsid w:val="11217B2E"/>
    <w:rsid w:val="143E2873"/>
    <w:rsid w:val="15C26AE4"/>
    <w:rsid w:val="18B20F70"/>
    <w:rsid w:val="1AC25486"/>
    <w:rsid w:val="1C4F67E6"/>
    <w:rsid w:val="1CE75528"/>
    <w:rsid w:val="1E0D0FBE"/>
    <w:rsid w:val="1EE6018D"/>
    <w:rsid w:val="22C407E5"/>
    <w:rsid w:val="22C578FC"/>
    <w:rsid w:val="239301B8"/>
    <w:rsid w:val="23DC45C3"/>
    <w:rsid w:val="289A7D95"/>
    <w:rsid w:val="2CCE354E"/>
    <w:rsid w:val="2DC117F6"/>
    <w:rsid w:val="2DE47F8D"/>
    <w:rsid w:val="2EEA15D4"/>
    <w:rsid w:val="2FC71915"/>
    <w:rsid w:val="30BF6314"/>
    <w:rsid w:val="33386B3C"/>
    <w:rsid w:val="36435A6D"/>
    <w:rsid w:val="36CC52E9"/>
    <w:rsid w:val="36DB7999"/>
    <w:rsid w:val="37267C0D"/>
    <w:rsid w:val="38B76B07"/>
    <w:rsid w:val="3DC9557E"/>
    <w:rsid w:val="3F6C112F"/>
    <w:rsid w:val="42CC5920"/>
    <w:rsid w:val="42E83C24"/>
    <w:rsid w:val="435D78A4"/>
    <w:rsid w:val="46E17548"/>
    <w:rsid w:val="47CC4A9D"/>
    <w:rsid w:val="48621D83"/>
    <w:rsid w:val="49020169"/>
    <w:rsid w:val="4C443F53"/>
    <w:rsid w:val="4F296182"/>
    <w:rsid w:val="4F5D6BFA"/>
    <w:rsid w:val="4FCE23B2"/>
    <w:rsid w:val="510E0A02"/>
    <w:rsid w:val="55B27B29"/>
    <w:rsid w:val="587F1D10"/>
    <w:rsid w:val="58F307D5"/>
    <w:rsid w:val="5C0363C4"/>
    <w:rsid w:val="5C4A25C4"/>
    <w:rsid w:val="5D602572"/>
    <w:rsid w:val="61056917"/>
    <w:rsid w:val="629372B1"/>
    <w:rsid w:val="629D1971"/>
    <w:rsid w:val="6528549D"/>
    <w:rsid w:val="655F791E"/>
    <w:rsid w:val="65A86BCC"/>
    <w:rsid w:val="66937169"/>
    <w:rsid w:val="673F0EF0"/>
    <w:rsid w:val="6C3557FD"/>
    <w:rsid w:val="6D111E72"/>
    <w:rsid w:val="6F555B04"/>
    <w:rsid w:val="71836A48"/>
    <w:rsid w:val="71EC078C"/>
    <w:rsid w:val="728D539E"/>
    <w:rsid w:val="72EB29DC"/>
    <w:rsid w:val="758F6E2D"/>
    <w:rsid w:val="793D7B1F"/>
    <w:rsid w:val="7ACB216C"/>
    <w:rsid w:val="7B34197A"/>
    <w:rsid w:val="7B3A2568"/>
    <w:rsid w:val="7E3D04B2"/>
    <w:rsid w:val="7ED610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paragraph" w:styleId="5">
    <w:name w:val="heading 2"/>
    <w:basedOn w:val="1"/>
    <w:next w:val="1"/>
    <w:link w:val="20"/>
    <w:unhideWhenUsed/>
    <w:qFormat/>
    <w:uiPriority w:val="0"/>
    <w:pPr>
      <w:keepNext/>
      <w:keepLines/>
      <w:spacing w:beforeLines="0" w:beforeAutospacing="0" w:afterLines="0" w:afterAutospacing="0" w:line="413" w:lineRule="auto"/>
      <w:outlineLvl w:val="1"/>
    </w:pPr>
    <w:rPr>
      <w:rFonts w:ascii="Arial" w:hAnsi="Arial" w:eastAsia="宋体"/>
      <w:b/>
      <w:sz w:val="28"/>
    </w:rPr>
  </w:style>
  <w:style w:type="paragraph" w:styleId="6">
    <w:name w:val="heading 3"/>
    <w:basedOn w:val="1"/>
    <w:next w:val="1"/>
    <w:unhideWhenUsed/>
    <w:qFormat/>
    <w:uiPriority w:val="0"/>
    <w:pPr>
      <w:keepNext/>
      <w:keepLines/>
      <w:spacing w:beforeLines="0" w:beforeAutospacing="0" w:afterLines="0" w:afterAutospacing="0" w:line="413" w:lineRule="auto"/>
      <w:outlineLvl w:val="2"/>
    </w:pPr>
    <w:rPr>
      <w:rFonts w:eastAsia="宋体" w:asciiTheme="minorAscii" w:hAnsiTheme="minorAsci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autoSpaceDE/>
      <w:autoSpaceDN/>
      <w:ind w:firstLine="570"/>
      <w:jc w:val="both"/>
    </w:pPr>
    <w:rPr>
      <w:rFonts w:ascii="Times New Roman" w:hAnsi="Times New Roman" w:cs="Times New Roman"/>
      <w:kern w:val="2"/>
      <w:sz w:val="28"/>
      <w:szCs w:val="20"/>
      <w:lang w:bidi="ar-SA"/>
    </w:rPr>
  </w:style>
  <w:style w:type="paragraph" w:styleId="7">
    <w:name w:val="Normal Indent"/>
    <w:basedOn w:val="1"/>
    <w:qFormat/>
    <w:uiPriority w:val="0"/>
    <w:pPr>
      <w:ind w:firstLine="420"/>
    </w:pPr>
    <w:rPr>
      <w:rFonts w:ascii="Times New Roman" w:hAnsi="Times New Roman"/>
      <w:kern w:val="0"/>
      <w:sz w:val="20"/>
      <w:szCs w:val="20"/>
    </w:rPr>
  </w:style>
  <w:style w:type="paragraph" w:styleId="8">
    <w:name w:val="annotation text"/>
    <w:basedOn w:val="1"/>
    <w:qFormat/>
    <w:uiPriority w:val="0"/>
    <w:pPr>
      <w:jc w:val="left"/>
    </w:pPr>
  </w:style>
  <w:style w:type="paragraph" w:styleId="9">
    <w:name w:val="Body Text"/>
    <w:basedOn w:val="1"/>
    <w:qFormat/>
    <w:uiPriority w:val="99"/>
    <w:rPr>
      <w:sz w:val="21"/>
      <w:szCs w:val="21"/>
    </w:rPr>
  </w:style>
  <w:style w:type="paragraph" w:styleId="10">
    <w:name w:val="Balloon Text"/>
    <w:basedOn w:val="1"/>
    <w:link w:val="18"/>
    <w:qFormat/>
    <w:uiPriority w:val="0"/>
    <w:rPr>
      <w:rFonts w:ascii="Heiti SC Light" w:eastAsia="Heiti SC Light"/>
      <w:sz w:val="18"/>
      <w:szCs w:val="18"/>
    </w:rPr>
  </w:style>
  <w:style w:type="paragraph" w:styleId="11">
    <w:name w:val="envelope return"/>
    <w:basedOn w:val="1"/>
    <w:qFormat/>
    <w:uiPriority w:val="0"/>
    <w:pPr>
      <w:snapToGrid w:val="0"/>
    </w:pPr>
    <w:rPr>
      <w:rFonts w:ascii="Arial" w:hAnsi="Arial"/>
      <w:szCs w:val="24"/>
    </w:rPr>
  </w:style>
  <w:style w:type="paragraph" w:styleId="12">
    <w:name w:val="Normal (Web)"/>
    <w:basedOn w:val="1"/>
    <w:qFormat/>
    <w:uiPriority w:val="0"/>
    <w:pPr>
      <w:spacing w:beforeAutospacing="1" w:afterAutospacing="1"/>
      <w:jc w:val="left"/>
    </w:pPr>
    <w:rPr>
      <w:rFonts w:cs="Times New Roman"/>
      <w:kern w:val="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8">
    <w:name w:val="批注框文本字符"/>
    <w:basedOn w:val="15"/>
    <w:link w:val="10"/>
    <w:qFormat/>
    <w:uiPriority w:val="0"/>
    <w:rPr>
      <w:rFonts w:ascii="Heiti SC Light" w:eastAsia="Heiti SC Light"/>
      <w:kern w:val="2"/>
      <w:sz w:val="18"/>
      <w:szCs w:val="18"/>
    </w:rPr>
  </w:style>
  <w:style w:type="paragraph" w:customStyle="1" w:styleId="19">
    <w:name w:val="表格文字"/>
    <w:basedOn w:val="3"/>
    <w:next w:val="9"/>
    <w:qFormat/>
    <w:uiPriority w:val="0"/>
    <w:pPr>
      <w:spacing w:before="25" w:after="25"/>
    </w:pPr>
    <w:rPr>
      <w:bCs/>
      <w:spacing w:val="10"/>
      <w:sz w:val="24"/>
    </w:rPr>
  </w:style>
  <w:style w:type="character" w:customStyle="1" w:styleId="20">
    <w:name w:val="标题 2 Char"/>
    <w:link w:val="5"/>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2986</Words>
  <Characters>3151</Characters>
  <Lines>63</Lines>
  <Paragraphs>17</Paragraphs>
  <TotalTime>0</TotalTime>
  <ScaleCrop>false</ScaleCrop>
  <LinksUpToDate>false</LinksUpToDate>
  <CharactersWithSpaces>3166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2024-09-14T09:28:00Z</dcterms:created>
  <dc:creator>空间</dc:creator>
  <cp:lastModifiedBy>周泊利</cp:lastModifiedBy>
  <dcterms:modified xsi:type="dcterms:W3CDTF">2026-05-11T01:34:37Z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7D3CD624B0C04FBEAC3709DF75153094_13</vt:lpwstr>
  </property>
  <property fmtid="{D5CDD505-2E9C-101B-9397-08002B2CF9AE}" pid="4" name="KSOTemplateDocerSaveRecord">
    <vt:lpwstr>eyJoZGlkIjoiODU2ZTQ5MWY5ZTc5MWRiYTA5ZGI3NDQxZWM1ZWMyNzgiLCJ1c2VySWQiOiI1MjUwOTIyMDMifQ==</vt:lpwstr>
  </property>
</Properties>
</file>