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E762C">
      <w:pPr>
        <w:pStyle w:val="6"/>
        <w:adjustRightInd w:val="0"/>
        <w:snapToGrid w:val="0"/>
        <w:spacing w:line="360" w:lineRule="auto"/>
        <w:ind w:firstLine="482" w:firstLineChars="200"/>
        <w:jc w:val="center"/>
        <w:rPr>
          <w:rFonts w:hint="eastAsia" w:hAnsi="宋体" w:cs="宋体"/>
          <w:b/>
          <w:sz w:val="24"/>
          <w:szCs w:val="24"/>
        </w:rPr>
      </w:pPr>
      <w:r>
        <w:rPr>
          <w:rFonts w:hint="eastAsia" w:hAnsi="宋体" w:cs="宋体"/>
          <w:b/>
          <w:sz w:val="24"/>
          <w:szCs w:val="24"/>
        </w:rPr>
        <w:t>采购人需求</w:t>
      </w:r>
    </w:p>
    <w:p w14:paraId="521F97E6">
      <w:pPr>
        <w:spacing w:line="360" w:lineRule="auto"/>
        <w:ind w:firstLine="482" w:firstLineChars="200"/>
        <w:rPr>
          <w:rFonts w:hint="eastAsia" w:ascii="宋体" w:hAnsi="宋体"/>
          <w:b/>
          <w:sz w:val="24"/>
          <w:szCs w:val="24"/>
        </w:rPr>
      </w:pPr>
      <w:bookmarkStart w:id="0" w:name="_Toc272497413"/>
      <w:bookmarkStart w:id="1" w:name="_Toc101951258"/>
      <w:bookmarkStart w:id="2" w:name="_Toc175644389"/>
      <w:r>
        <w:rPr>
          <w:rFonts w:hint="eastAsia" w:ascii="宋体" w:hAnsi="宋体"/>
          <w:b/>
          <w:sz w:val="24"/>
          <w:szCs w:val="24"/>
        </w:rPr>
        <w:t>备注：采购人需求中标注“</w:t>
      </w:r>
      <w:bookmarkStart w:id="3" w:name="OLE_LINK26"/>
      <w:bookmarkStart w:id="4" w:name="OLE_LINK27"/>
      <w:r>
        <w:rPr>
          <w:rFonts w:hint="eastAsia" w:ascii="宋体" w:hAnsi="宋体"/>
          <w:b/>
          <w:sz w:val="24"/>
          <w:szCs w:val="24"/>
        </w:rPr>
        <w:t>★</w:t>
      </w:r>
      <w:bookmarkEnd w:id="3"/>
      <w:bookmarkEnd w:id="4"/>
      <w:r>
        <w:rPr>
          <w:rFonts w:hint="eastAsia" w:ascii="宋体" w:hAnsi="宋体"/>
          <w:b/>
          <w:sz w:val="24"/>
          <w:szCs w:val="24"/>
        </w:rPr>
        <w:t>”号条款为实质性响应条款，必须逐条进行响应，投标人如有任何一条负偏离或不响应的，将导致投标无效。标注“▲”号条款为重要技术参数，但不作为无效投标条款。</w:t>
      </w:r>
    </w:p>
    <w:p w14:paraId="13E899F6">
      <w:pPr>
        <w:spacing w:line="360" w:lineRule="auto"/>
        <w:outlineLvl w:val="1"/>
        <w:rPr>
          <w:rFonts w:ascii="宋体" w:hAnsi="宋体"/>
          <w:sz w:val="24"/>
          <w:szCs w:val="24"/>
        </w:rPr>
      </w:pPr>
      <w:r>
        <w:rPr>
          <w:rFonts w:hint="eastAsia" w:ascii="宋体" w:hAnsi="宋体" w:cs="宋体"/>
          <w:b/>
          <w:sz w:val="24"/>
          <w:szCs w:val="24"/>
        </w:rPr>
        <w:t>一、招标范围</w:t>
      </w:r>
      <w:bookmarkEnd w:id="0"/>
      <w:bookmarkEnd w:id="1"/>
      <w:bookmarkEnd w:id="2"/>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0"/>
        <w:gridCol w:w="1430"/>
        <w:gridCol w:w="2980"/>
      </w:tblGrid>
      <w:tr w14:paraId="7AF6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00" w:type="dxa"/>
            <w:noWrap w:val="0"/>
            <w:vAlign w:val="center"/>
          </w:tcPr>
          <w:p w14:paraId="4792133A">
            <w:pPr>
              <w:snapToGrid w:val="0"/>
              <w:jc w:val="center"/>
              <w:rPr>
                <w:rFonts w:hint="eastAsia" w:ascii="宋体" w:hAnsi="宋体" w:cs="宋体"/>
                <w:b/>
                <w:sz w:val="24"/>
                <w:szCs w:val="24"/>
              </w:rPr>
            </w:pPr>
            <w:r>
              <w:rPr>
                <w:rFonts w:hint="eastAsia" w:ascii="宋体" w:hAnsi="宋体" w:cs="宋体"/>
                <w:b/>
                <w:bCs/>
                <w:sz w:val="24"/>
                <w:szCs w:val="24"/>
              </w:rPr>
              <w:t>采购内容</w:t>
            </w:r>
          </w:p>
        </w:tc>
        <w:tc>
          <w:tcPr>
            <w:tcW w:w="1430" w:type="dxa"/>
            <w:noWrap w:val="0"/>
            <w:vAlign w:val="center"/>
          </w:tcPr>
          <w:p w14:paraId="7F744931">
            <w:pPr>
              <w:snapToGrid w:val="0"/>
              <w:jc w:val="center"/>
              <w:rPr>
                <w:rFonts w:hint="eastAsia" w:ascii="宋体" w:hAnsi="宋体" w:cs="宋体"/>
                <w:b/>
                <w:sz w:val="24"/>
                <w:szCs w:val="24"/>
              </w:rPr>
            </w:pPr>
            <w:r>
              <w:rPr>
                <w:rFonts w:hint="eastAsia" w:ascii="宋体" w:hAnsi="宋体" w:cs="宋体"/>
                <w:b/>
                <w:bCs/>
                <w:sz w:val="24"/>
                <w:szCs w:val="24"/>
              </w:rPr>
              <w:t>数量</w:t>
            </w:r>
          </w:p>
        </w:tc>
        <w:tc>
          <w:tcPr>
            <w:tcW w:w="2980" w:type="dxa"/>
            <w:noWrap w:val="0"/>
            <w:vAlign w:val="center"/>
          </w:tcPr>
          <w:p w14:paraId="266DBEB9">
            <w:pPr>
              <w:snapToGrid w:val="0"/>
              <w:jc w:val="center"/>
              <w:rPr>
                <w:rFonts w:hint="eastAsia" w:ascii="宋体" w:hAnsi="宋体" w:cs="宋体"/>
                <w:b/>
                <w:bCs/>
                <w:sz w:val="24"/>
                <w:szCs w:val="24"/>
                <w:lang w:val="zh-CN"/>
              </w:rPr>
            </w:pPr>
            <w:r>
              <w:rPr>
                <w:rFonts w:ascii="宋体" w:hAnsi="宋体" w:cs="宋体"/>
                <w:b/>
                <w:bCs/>
                <w:sz w:val="24"/>
                <w:szCs w:val="24"/>
              </w:rPr>
              <w:t>最高限价</w:t>
            </w:r>
          </w:p>
          <w:p w14:paraId="2A1BE9C6">
            <w:pPr>
              <w:snapToGrid w:val="0"/>
              <w:jc w:val="center"/>
              <w:rPr>
                <w:rFonts w:hint="eastAsia"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zh-CN"/>
              </w:rPr>
              <w:t>采购预算</w:t>
            </w:r>
            <w:r>
              <w:rPr>
                <w:rFonts w:hint="eastAsia" w:ascii="宋体" w:hAnsi="宋体" w:cs="宋体"/>
                <w:b/>
                <w:bCs/>
                <w:sz w:val="24"/>
                <w:szCs w:val="24"/>
              </w:rPr>
              <w:t>)</w:t>
            </w:r>
          </w:p>
        </w:tc>
      </w:tr>
      <w:tr w14:paraId="6FA9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00" w:type="dxa"/>
            <w:noWrap w:val="0"/>
            <w:vAlign w:val="center"/>
          </w:tcPr>
          <w:p w14:paraId="30ED6576">
            <w:pPr>
              <w:snapToGrid w:val="0"/>
              <w:jc w:val="center"/>
              <w:rPr>
                <w:rFonts w:hint="eastAsia" w:ascii="宋体" w:hAnsi="宋体" w:cs="宋体"/>
                <w:sz w:val="24"/>
                <w:szCs w:val="24"/>
              </w:rPr>
            </w:pPr>
            <w:r>
              <w:rPr>
                <w:rFonts w:hint="eastAsia" w:ascii="宋体" w:hAnsi="宋体" w:cs="宋体"/>
                <w:sz w:val="24"/>
                <w:szCs w:val="24"/>
                <w:lang w:val="en-US" w:eastAsia="zh-CN"/>
              </w:rPr>
              <w:t>监护</w:t>
            </w:r>
            <w:r>
              <w:rPr>
                <w:rFonts w:hint="eastAsia" w:ascii="宋体" w:hAnsi="宋体" w:cs="宋体"/>
                <w:sz w:val="24"/>
                <w:szCs w:val="24"/>
              </w:rPr>
              <w:t>型救护车</w:t>
            </w:r>
          </w:p>
        </w:tc>
        <w:tc>
          <w:tcPr>
            <w:tcW w:w="1430" w:type="dxa"/>
            <w:noWrap w:val="0"/>
            <w:vAlign w:val="center"/>
          </w:tcPr>
          <w:p w14:paraId="35361C80">
            <w:pPr>
              <w:snapToGrid w:val="0"/>
              <w:jc w:val="center"/>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辆</w:t>
            </w:r>
          </w:p>
        </w:tc>
        <w:tc>
          <w:tcPr>
            <w:tcW w:w="2980" w:type="dxa"/>
            <w:noWrap w:val="0"/>
            <w:vAlign w:val="center"/>
          </w:tcPr>
          <w:p w14:paraId="64359F6E">
            <w:pPr>
              <w:snapToGrid w:val="0"/>
              <w:jc w:val="center"/>
              <w:rPr>
                <w:rFonts w:hint="default" w:ascii="宋体" w:hAnsi="宋体" w:eastAsia="宋体" w:cs="宋体"/>
                <w:sz w:val="24"/>
                <w:szCs w:val="24"/>
                <w:lang w:val="en-US" w:eastAsia="zh-CN"/>
              </w:rPr>
            </w:pPr>
            <w:bookmarkStart w:id="5" w:name="OLE_LINK2"/>
            <w:bookmarkStart w:id="6" w:name="OLE_LINK1"/>
            <w:r>
              <w:rPr>
                <w:rFonts w:hint="eastAsia" w:ascii="宋体" w:hAnsi="宋体" w:cs="宋体"/>
                <w:sz w:val="24"/>
                <w:szCs w:val="24"/>
                <w:lang w:val="en-US" w:eastAsia="zh-CN"/>
              </w:rPr>
              <w:t>2</w:t>
            </w:r>
            <w:bookmarkEnd w:id="5"/>
            <w:bookmarkEnd w:id="6"/>
            <w:r>
              <w:rPr>
                <w:rFonts w:hint="eastAsia" w:ascii="宋体" w:hAnsi="宋体" w:cs="宋体"/>
                <w:sz w:val="24"/>
                <w:szCs w:val="24"/>
                <w:lang w:val="en-US" w:eastAsia="zh-CN"/>
              </w:rPr>
              <w:t>20000元</w:t>
            </w:r>
          </w:p>
        </w:tc>
      </w:tr>
      <w:tr w14:paraId="4E72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10" w:type="dxa"/>
            <w:gridSpan w:val="3"/>
            <w:noWrap w:val="0"/>
            <w:vAlign w:val="center"/>
          </w:tcPr>
          <w:p w14:paraId="6D1D766E">
            <w:pPr>
              <w:snapToGrid w:val="0"/>
              <w:spacing w:line="360" w:lineRule="auto"/>
              <w:rPr>
                <w:rFonts w:hint="eastAsia" w:ascii="宋体" w:hAnsi="宋体" w:cs="宋体"/>
                <w:sz w:val="24"/>
                <w:szCs w:val="24"/>
                <w:lang w:val="zh-CN"/>
              </w:rPr>
            </w:pPr>
            <w:r>
              <w:rPr>
                <w:rFonts w:hint="eastAsia" w:ascii="宋体" w:hAnsi="宋体" w:cs="宋体"/>
                <w:sz w:val="24"/>
                <w:szCs w:val="24"/>
              </w:rPr>
              <w:t>备注：本项目为采购本国产品。投标人须对本项目所有招标内容进行整体投标，不允许只对其中部分内容进行投标，不得缺漏。</w:t>
            </w:r>
          </w:p>
        </w:tc>
      </w:tr>
    </w:tbl>
    <w:p w14:paraId="32238D77">
      <w:pPr>
        <w:pStyle w:val="9"/>
        <w:rPr>
          <w:rFonts w:hint="eastAsia" w:hAnsi="宋体"/>
          <w:color w:val="auto"/>
        </w:rPr>
      </w:pPr>
    </w:p>
    <w:p w14:paraId="4FB57E27">
      <w:pPr>
        <w:spacing w:line="360" w:lineRule="auto"/>
        <w:outlineLvl w:val="1"/>
        <w:rPr>
          <w:rFonts w:hint="eastAsia" w:ascii="宋体" w:hAnsi="宋体" w:cs="宋体"/>
          <w:b/>
          <w:sz w:val="24"/>
          <w:szCs w:val="24"/>
        </w:rPr>
      </w:pPr>
      <w:r>
        <w:rPr>
          <w:rFonts w:hint="eastAsia" w:ascii="宋体" w:hAnsi="宋体" w:cs="宋体"/>
          <w:b/>
          <w:sz w:val="24"/>
          <w:szCs w:val="24"/>
        </w:rPr>
        <w:t>二、招标要求</w:t>
      </w:r>
      <w:bookmarkStart w:id="7" w:name="_Toc321987679"/>
      <w:bookmarkStart w:id="8" w:name="_Toc322077823"/>
    </w:p>
    <w:p w14:paraId="45ADCAD2">
      <w:pPr>
        <w:spacing w:line="360" w:lineRule="auto"/>
        <w:ind w:firstLine="241" w:firstLineChars="100"/>
        <w:outlineLvl w:val="1"/>
        <w:rPr>
          <w:rFonts w:hint="eastAsia" w:ascii="宋体" w:hAnsi="宋体" w:cs="宋体"/>
          <w:b/>
          <w:sz w:val="24"/>
          <w:szCs w:val="24"/>
        </w:rPr>
      </w:pPr>
      <w:r>
        <w:rPr>
          <w:rFonts w:hint="eastAsia" w:ascii="宋体" w:hAnsi="宋体" w:cs="宋体"/>
          <w:b/>
          <w:sz w:val="24"/>
          <w:szCs w:val="24"/>
        </w:rPr>
        <w:t>（一）总体要求</w:t>
      </w:r>
    </w:p>
    <w:bookmarkEnd w:id="7"/>
    <w:bookmarkEnd w:id="8"/>
    <w:p w14:paraId="484FB11A">
      <w:pPr>
        <w:spacing w:line="360" w:lineRule="auto"/>
        <w:ind w:firstLine="480" w:firstLineChars="200"/>
        <w:rPr>
          <w:rFonts w:hint="eastAsia" w:ascii="宋体" w:hAnsi="宋体"/>
          <w:bCs/>
          <w:sz w:val="24"/>
          <w:szCs w:val="24"/>
        </w:rPr>
      </w:pPr>
      <w:r>
        <w:rPr>
          <w:rFonts w:hint="eastAsia" w:ascii="宋体" w:hAnsi="宋体"/>
          <w:bCs/>
          <w:sz w:val="24"/>
          <w:szCs w:val="24"/>
        </w:rPr>
        <w:t>1.投标人</w:t>
      </w:r>
      <w:r>
        <w:rPr>
          <w:rFonts w:hint="eastAsia" w:ascii="宋体" w:hAnsi="宋体"/>
          <w:sz w:val="24"/>
          <w:szCs w:val="24"/>
        </w:rPr>
        <w:t>具备汽车经营资格，可以开据机动车销售统一发票</w:t>
      </w:r>
      <w:r>
        <w:rPr>
          <w:rFonts w:hint="eastAsia" w:ascii="宋体" w:hAnsi="宋体"/>
          <w:bCs/>
          <w:sz w:val="24"/>
          <w:szCs w:val="24"/>
        </w:rPr>
        <w:t xml:space="preserve">。 </w:t>
      </w:r>
    </w:p>
    <w:p w14:paraId="4A699707">
      <w:pPr>
        <w:spacing w:line="360" w:lineRule="auto"/>
        <w:ind w:firstLine="480" w:firstLineChars="200"/>
        <w:rPr>
          <w:rFonts w:ascii="宋体" w:hAnsi="宋体"/>
          <w:sz w:val="24"/>
          <w:szCs w:val="24"/>
        </w:rPr>
      </w:pPr>
      <w:bookmarkStart w:id="9" w:name="OLE_LINK29"/>
      <w:bookmarkStart w:id="10" w:name="OLE_LINK28"/>
      <w:r>
        <w:rPr>
          <w:rFonts w:hint="eastAsia" w:ascii="宋体" w:hAnsi="宋体"/>
          <w:bCs/>
          <w:sz w:val="24"/>
          <w:szCs w:val="24"/>
        </w:rPr>
        <w:t>2.</w:t>
      </w:r>
      <w:bookmarkStart w:id="11" w:name="OLE_LINK22"/>
      <w:bookmarkStart w:id="12" w:name="OLE_LINK21"/>
      <w:r>
        <w:rPr>
          <w:rFonts w:hint="eastAsia" w:ascii="宋体" w:hAnsi="宋体"/>
          <w:b/>
          <w:sz w:val="24"/>
          <w:szCs w:val="24"/>
        </w:rPr>
        <w:t xml:space="preserve"> ★</w:t>
      </w:r>
      <w:r>
        <w:rPr>
          <w:rFonts w:hint="eastAsia" w:ascii="宋体" w:hAnsi="宋体"/>
          <w:sz w:val="24"/>
          <w:szCs w:val="24"/>
        </w:rPr>
        <w:t>投标人所投标的改装后车辆必须为工业和信息化部或发改委《道路机动车辆生产企业及产品》公告中的产品名称为“救护车”</w:t>
      </w:r>
      <w:bookmarkStart w:id="13" w:name="OLE_LINK31"/>
      <w:bookmarkStart w:id="14" w:name="OLE_LINK30"/>
      <w:r>
        <w:rPr>
          <w:rFonts w:hint="eastAsia" w:ascii="宋体" w:hAnsi="宋体" w:cs="宋体"/>
          <w:sz w:val="24"/>
          <w:szCs w:val="24"/>
        </w:rPr>
        <w:t>负压型救护车产品商标必须为同一生产企业商标</w:t>
      </w:r>
      <w:r>
        <w:rPr>
          <w:rFonts w:hint="eastAsia" w:ascii="宋体" w:hAnsi="宋体"/>
          <w:sz w:val="24"/>
          <w:szCs w:val="24"/>
        </w:rPr>
        <w:t>，</w:t>
      </w:r>
      <w:bookmarkEnd w:id="13"/>
      <w:bookmarkEnd w:id="14"/>
      <w:r>
        <w:rPr>
          <w:rFonts w:hint="eastAsia" w:ascii="宋体" w:hAnsi="宋体"/>
          <w:sz w:val="24"/>
          <w:szCs w:val="24"/>
        </w:rPr>
        <w:t>供应商在投标文件中必须提供该车辆型号或产品型号在《道路机动车辆生产企业及产品》公告内的公告批次，公告批次证明文件以工业和信息化部或发改委网站上含网址打印出来的公告为准。</w:t>
      </w:r>
      <w:bookmarkEnd w:id="11"/>
      <w:bookmarkEnd w:id="12"/>
    </w:p>
    <w:bookmarkEnd w:id="9"/>
    <w:bookmarkEnd w:id="10"/>
    <w:p w14:paraId="580D21E1">
      <w:pPr>
        <w:spacing w:line="360" w:lineRule="auto"/>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投标供应商若为生产企业：所投产品为第二、三类医疗器械的，提供监督管理部门签发的涵盖所投报医疗器械的《医疗器械生产许可证》(有效期内)扫描件。</w:t>
      </w:r>
    </w:p>
    <w:p w14:paraId="09E73E18">
      <w:pPr>
        <w:spacing w:line="360" w:lineRule="auto"/>
        <w:ind w:firstLine="480" w:firstLineChars="200"/>
        <w:rPr>
          <w:rFonts w:hint="eastAsia" w:ascii="宋体" w:hAnsi="宋体"/>
          <w:sz w:val="24"/>
          <w:szCs w:val="24"/>
        </w:rPr>
      </w:pPr>
      <w:r>
        <w:rPr>
          <w:rFonts w:hint="eastAsia" w:ascii="宋体" w:hAnsi="宋体"/>
          <w:sz w:val="24"/>
          <w:szCs w:val="24"/>
        </w:rPr>
        <w:t>4.投标供应商若为经营企业：所投产品为第二类医疗器械的，提供监督管理部门签发的涵盖所投医疗器械的《医疗器械经营备案凭证》(有效期内)扫描件；所投产品为第三类医疗器械的，提供监督管理部门签发的涵盖所投报医疗器械的《医疗器械经营许可证》(有效期内)扫描件。</w:t>
      </w:r>
    </w:p>
    <w:p w14:paraId="46D2B9EB">
      <w:pPr>
        <w:spacing w:line="360" w:lineRule="auto"/>
        <w:ind w:firstLine="480" w:firstLineChars="200"/>
        <w:rPr>
          <w:rFonts w:hint="eastAsia" w:ascii="宋体" w:hAnsi="宋体"/>
          <w:bCs/>
          <w:sz w:val="24"/>
          <w:szCs w:val="24"/>
        </w:rPr>
      </w:pPr>
      <w:r>
        <w:rPr>
          <w:rFonts w:ascii="宋体" w:hAnsi="宋体"/>
          <w:bCs/>
          <w:sz w:val="24"/>
          <w:szCs w:val="24"/>
        </w:rPr>
        <w:t>5</w:t>
      </w:r>
      <w:r>
        <w:rPr>
          <w:rFonts w:hint="eastAsia" w:ascii="宋体" w:hAnsi="宋体"/>
          <w:bCs/>
          <w:sz w:val="24"/>
          <w:szCs w:val="24"/>
        </w:rPr>
        <w:t>. 本项目总价包括：车身价、设备及加装费、安装调试、车辆运输费、培训、质保期保障等费用，但不包含车辆购置税、交强险、车船税、上牌检测费、首年度商业险、路桥费等用户使用后产生的费用。</w:t>
      </w:r>
    </w:p>
    <w:p w14:paraId="298F388B">
      <w:pPr>
        <w:spacing w:line="360" w:lineRule="auto"/>
        <w:ind w:firstLine="241" w:firstLineChars="100"/>
        <w:outlineLvl w:val="1"/>
        <w:rPr>
          <w:rFonts w:hint="eastAsia" w:ascii="宋体" w:hAnsi="宋体" w:cs="宋体"/>
          <w:b/>
          <w:sz w:val="24"/>
          <w:szCs w:val="24"/>
        </w:rPr>
      </w:pPr>
      <w:bookmarkStart w:id="15" w:name="OLE_LINK10"/>
      <w:bookmarkStart w:id="16" w:name="OLE_LINK9"/>
    </w:p>
    <w:bookmarkEnd w:id="15"/>
    <w:bookmarkEnd w:id="16"/>
    <w:p w14:paraId="0DC0555F">
      <w:pPr>
        <w:rPr>
          <w:rFonts w:ascii="宋体" w:hAnsi="宋体"/>
          <w:sz w:val="24"/>
          <w:szCs w:val="24"/>
        </w:rPr>
      </w:pPr>
      <w:r>
        <w:rPr>
          <w:rFonts w:ascii="宋体" w:hAnsi="宋体"/>
          <w:sz w:val="24"/>
          <w:szCs w:val="24"/>
        </w:rPr>
        <w:br w:type="page"/>
      </w:r>
      <w:r>
        <w:rPr>
          <w:rFonts w:hint="eastAsia" w:ascii="宋体" w:hAnsi="宋体"/>
          <w:sz w:val="24"/>
          <w:szCs w:val="24"/>
          <w:lang w:val="en-US" w:eastAsia="zh-CN"/>
        </w:rPr>
        <w:t>一、监护</w:t>
      </w:r>
      <w:r>
        <w:rPr>
          <w:rFonts w:hint="eastAsia" w:ascii="宋体" w:hAnsi="宋体" w:cs="宋体"/>
          <w:sz w:val="24"/>
          <w:szCs w:val="24"/>
        </w:rPr>
        <w:t>型救护车</w:t>
      </w:r>
      <w:r>
        <w:rPr>
          <w:rFonts w:hint="eastAsia" w:ascii="宋体" w:hAnsi="宋体"/>
          <w:b/>
          <w:sz w:val="24"/>
          <w:szCs w:val="24"/>
        </w:rPr>
        <w:t>技术参数要求</w:t>
      </w:r>
    </w:p>
    <w:tbl>
      <w:tblPr>
        <w:tblStyle w:val="7"/>
        <w:tblpPr w:leftFromText="180" w:rightFromText="180" w:vertAnchor="text" w:horzAnchor="page" w:tblpX="1522" w:tblpY="331"/>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751"/>
        <w:gridCol w:w="6180"/>
      </w:tblGrid>
      <w:tr w14:paraId="0414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034E4C3">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751" w:type="dxa"/>
            <w:vAlign w:val="center"/>
          </w:tcPr>
          <w:p w14:paraId="5A65011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货物名称</w:t>
            </w:r>
          </w:p>
        </w:tc>
        <w:tc>
          <w:tcPr>
            <w:tcW w:w="6180" w:type="dxa"/>
            <w:vAlign w:val="center"/>
          </w:tcPr>
          <w:p w14:paraId="75203906">
            <w:pPr>
              <w:widowControl/>
              <w:jc w:val="center"/>
              <w:rPr>
                <w:rFonts w:asciiTheme="minorEastAsia" w:hAnsiTheme="minorEastAsia" w:eastAsiaTheme="minorEastAsia" w:cstheme="minorEastAsia"/>
                <w:kern w:val="0"/>
                <w:sz w:val="24"/>
              </w:rPr>
            </w:pPr>
            <w:r>
              <w:rPr>
                <w:rFonts w:asciiTheme="minorEastAsia" w:hAnsiTheme="minorEastAsia" w:eastAsiaTheme="minorEastAsia" w:cstheme="minorEastAsia"/>
                <w:b/>
                <w:bCs/>
                <w:kern w:val="0"/>
                <w:sz w:val="24"/>
              </w:rPr>
              <w:t>技术规格要求</w:t>
            </w:r>
          </w:p>
        </w:tc>
      </w:tr>
      <w:tr w14:paraId="5DD6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679FC22">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w:t>
            </w:r>
          </w:p>
        </w:tc>
        <w:tc>
          <w:tcPr>
            <w:tcW w:w="1751" w:type="dxa"/>
            <w:vAlign w:val="center"/>
          </w:tcPr>
          <w:p w14:paraId="532CD25E">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车辆技术要求</w:t>
            </w:r>
          </w:p>
        </w:tc>
        <w:tc>
          <w:tcPr>
            <w:tcW w:w="6180" w:type="dxa"/>
            <w:vAlign w:val="center"/>
          </w:tcPr>
          <w:p w14:paraId="64211412">
            <w:pPr>
              <w:widowControl/>
              <w:jc w:val="center"/>
              <w:rPr>
                <w:rFonts w:asciiTheme="minorEastAsia" w:hAnsiTheme="minorEastAsia" w:eastAsiaTheme="minorEastAsia" w:cstheme="minorEastAsia"/>
                <w:b/>
                <w:bCs/>
                <w:kern w:val="0"/>
                <w:sz w:val="24"/>
              </w:rPr>
            </w:pPr>
          </w:p>
        </w:tc>
      </w:tr>
      <w:tr w14:paraId="323A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B3028A9">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10562DC0">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车体尺寸</w:t>
            </w:r>
          </w:p>
        </w:tc>
        <w:tc>
          <w:tcPr>
            <w:tcW w:w="6180" w:type="dxa"/>
            <w:vAlign w:val="center"/>
          </w:tcPr>
          <w:p w14:paraId="511A728E">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5350mm≥长≥5340mm，2040mm≥宽≥1980mm，2480mm≥高≥2450mm</w:t>
            </w:r>
            <w:r>
              <w:rPr>
                <w:rFonts w:hint="eastAsia" w:ascii="宋体" w:hAnsi="宋体" w:eastAsia="宋体" w:cs="宋体"/>
                <w:b w:val="0"/>
                <w:bCs/>
                <w:color w:val="auto"/>
                <w:sz w:val="24"/>
                <w:szCs w:val="24"/>
              </w:rPr>
              <w:t>(需提供工信部发布的《道路机动车辆生产企业及产品公告》医疗车公告页截图并加盖投标人公章，不接受投标人自述的正偏离)</w:t>
            </w:r>
          </w:p>
        </w:tc>
      </w:tr>
      <w:tr w14:paraId="3856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2543396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241840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医疗舱内尺寸</w:t>
            </w:r>
          </w:p>
        </w:tc>
        <w:tc>
          <w:tcPr>
            <w:tcW w:w="6180" w:type="dxa"/>
            <w:vAlign w:val="center"/>
          </w:tcPr>
          <w:p w14:paraId="5B8AA6C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2900mm≥长≥2830mm，1800mm≥宽≥1700mm，1750≥高≥1700mm</w:t>
            </w:r>
          </w:p>
        </w:tc>
      </w:tr>
      <w:tr w14:paraId="1CAB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E6BF27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36FD0D5">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轴距</w:t>
            </w:r>
          </w:p>
        </w:tc>
        <w:tc>
          <w:tcPr>
            <w:tcW w:w="6180" w:type="dxa"/>
            <w:vAlign w:val="center"/>
          </w:tcPr>
          <w:p w14:paraId="55E4CD47">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≥3300mm</w:t>
            </w:r>
          </w:p>
        </w:tc>
      </w:tr>
      <w:tr w14:paraId="1EB5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0A2A458">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8B6E79C">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车满载总质量</w:t>
            </w:r>
          </w:p>
        </w:tc>
        <w:tc>
          <w:tcPr>
            <w:tcW w:w="6180" w:type="dxa"/>
            <w:vAlign w:val="center"/>
          </w:tcPr>
          <w:p w14:paraId="0F8A949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≥3300kg</w:t>
            </w:r>
          </w:p>
        </w:tc>
      </w:tr>
      <w:tr w14:paraId="3E1D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5E48D85">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7642FA3">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整备质量</w:t>
            </w:r>
          </w:p>
        </w:tc>
        <w:tc>
          <w:tcPr>
            <w:tcW w:w="6180" w:type="dxa"/>
            <w:vAlign w:val="center"/>
          </w:tcPr>
          <w:p w14:paraId="7B80D321">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≤2480kg</w:t>
            </w:r>
          </w:p>
        </w:tc>
      </w:tr>
      <w:tr w14:paraId="2767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9E1B723">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1A557086">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悬挂系统</w:t>
            </w:r>
          </w:p>
        </w:tc>
        <w:tc>
          <w:tcPr>
            <w:tcW w:w="6180" w:type="dxa"/>
            <w:vAlign w:val="center"/>
          </w:tcPr>
          <w:p w14:paraId="40CE3A7A">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333333"/>
                <w:sz w:val="24"/>
              </w:rPr>
              <w:t>前悬麦弗逊独立悬挂，后悬钢板弹簧非独立悬挂</w:t>
            </w:r>
          </w:p>
        </w:tc>
      </w:tr>
      <w:tr w14:paraId="68E6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E6FB96B">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E7E8A0D">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最小转弯半径</w:t>
            </w:r>
          </w:p>
        </w:tc>
        <w:tc>
          <w:tcPr>
            <w:tcW w:w="6180" w:type="dxa"/>
            <w:vAlign w:val="center"/>
          </w:tcPr>
          <w:p w14:paraId="737F4762">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5m</w:t>
            </w:r>
          </w:p>
        </w:tc>
      </w:tr>
      <w:tr w14:paraId="6B9D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0BBA26C4">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4AA7CB9">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燃油种类</w:t>
            </w:r>
          </w:p>
        </w:tc>
        <w:tc>
          <w:tcPr>
            <w:tcW w:w="6180" w:type="dxa"/>
            <w:vAlign w:val="center"/>
          </w:tcPr>
          <w:p w14:paraId="5C5B4293">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柴</w:t>
            </w:r>
            <w:r>
              <w:rPr>
                <w:rFonts w:hint="eastAsia" w:asciiTheme="minorEastAsia" w:hAnsiTheme="minorEastAsia" w:eastAsiaTheme="minorEastAsia" w:cstheme="minorEastAsia"/>
                <w:kern w:val="0"/>
                <w:sz w:val="24"/>
              </w:rPr>
              <w:t>油</w:t>
            </w:r>
          </w:p>
        </w:tc>
      </w:tr>
      <w:tr w14:paraId="1CB4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0C8BA7FA">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6FA1006">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油箱容积</w:t>
            </w:r>
          </w:p>
        </w:tc>
        <w:tc>
          <w:tcPr>
            <w:tcW w:w="6180" w:type="dxa"/>
            <w:vAlign w:val="center"/>
          </w:tcPr>
          <w:p w14:paraId="49B91966">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≥80L</w:t>
            </w:r>
          </w:p>
        </w:tc>
      </w:tr>
      <w:tr w14:paraId="434F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14:paraId="2D182953">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0D79DBE">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发动机工作方式</w:t>
            </w:r>
          </w:p>
        </w:tc>
        <w:tc>
          <w:tcPr>
            <w:tcW w:w="6180" w:type="dxa"/>
            <w:vAlign w:val="center"/>
          </w:tcPr>
          <w:p w14:paraId="62F9F44A">
            <w:pPr>
              <w:widowControl/>
              <w:jc w:val="left"/>
              <w:rPr>
                <w:rFonts w:asciiTheme="minorEastAsia" w:hAnsiTheme="minorEastAsia" w:eastAsiaTheme="minorEastAsia" w:cstheme="minorEastAsia"/>
                <w:color w:val="FF0000"/>
                <w:kern w:val="0"/>
                <w:sz w:val="24"/>
              </w:rPr>
            </w:pPr>
            <w:r>
              <w:rPr>
                <w:rFonts w:hint="eastAsia" w:asciiTheme="majorEastAsia" w:hAnsiTheme="majorEastAsia" w:eastAsiaTheme="majorEastAsia"/>
                <w:color w:val="000000"/>
                <w:kern w:val="0"/>
                <w:sz w:val="24"/>
              </w:rPr>
              <w:t>直列、四缸、增压中冷、高压共轨</w:t>
            </w:r>
          </w:p>
        </w:tc>
      </w:tr>
      <w:tr w14:paraId="7C99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8B2B53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20651F6">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排气量</w:t>
            </w:r>
          </w:p>
        </w:tc>
        <w:tc>
          <w:tcPr>
            <w:tcW w:w="6180" w:type="dxa"/>
            <w:vAlign w:val="center"/>
          </w:tcPr>
          <w:p w14:paraId="6440E283">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≥1997ml</w:t>
            </w:r>
          </w:p>
        </w:tc>
      </w:tr>
      <w:tr w14:paraId="30C1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8AFE1C9">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5105D3F">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额定功率</w:t>
            </w:r>
          </w:p>
        </w:tc>
        <w:tc>
          <w:tcPr>
            <w:tcW w:w="6180" w:type="dxa"/>
            <w:vAlign w:val="center"/>
          </w:tcPr>
          <w:p w14:paraId="098E1E31">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05</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325</w:t>
            </w:r>
            <w:r>
              <w:rPr>
                <w:rFonts w:hint="eastAsia" w:asciiTheme="minorEastAsia" w:hAnsiTheme="minorEastAsia" w:eastAsiaTheme="minorEastAsia" w:cstheme="minorEastAsia"/>
                <w:kern w:val="0"/>
                <w:sz w:val="24"/>
              </w:rPr>
              <w:t>0 kw(hp)/rpm</w:t>
            </w:r>
          </w:p>
        </w:tc>
      </w:tr>
      <w:tr w14:paraId="5245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C06321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60A477E">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最大扭矩</w:t>
            </w:r>
          </w:p>
        </w:tc>
        <w:tc>
          <w:tcPr>
            <w:tcW w:w="6180" w:type="dxa"/>
            <w:vAlign w:val="center"/>
          </w:tcPr>
          <w:p w14:paraId="289E696D">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en-US" w:eastAsia="zh-CN"/>
              </w:rPr>
              <w:t>05</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14</w:t>
            </w:r>
            <w:r>
              <w:rPr>
                <w:rFonts w:hint="eastAsia" w:asciiTheme="minorEastAsia" w:hAnsiTheme="minorEastAsia" w:eastAsiaTheme="minorEastAsia" w:cstheme="minorEastAsia"/>
                <w:kern w:val="0"/>
                <w:sz w:val="24"/>
              </w:rPr>
              <w:t>00-3</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00Nm/rpm</w:t>
            </w:r>
          </w:p>
        </w:tc>
      </w:tr>
      <w:tr w14:paraId="696D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F3B2F6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065385D">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排放标准</w:t>
            </w:r>
          </w:p>
        </w:tc>
        <w:tc>
          <w:tcPr>
            <w:tcW w:w="6180" w:type="dxa"/>
            <w:vAlign w:val="center"/>
          </w:tcPr>
          <w:p w14:paraId="6F172A6E">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国Ⅵ</w:t>
            </w:r>
          </w:p>
        </w:tc>
      </w:tr>
      <w:tr w14:paraId="0CD3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67EF136">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4C6B031">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驱动方式</w:t>
            </w:r>
          </w:p>
        </w:tc>
        <w:tc>
          <w:tcPr>
            <w:tcW w:w="6180" w:type="dxa"/>
            <w:vAlign w:val="center"/>
          </w:tcPr>
          <w:p w14:paraId="5393970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前置前驱</w:t>
            </w:r>
          </w:p>
        </w:tc>
      </w:tr>
      <w:tr w14:paraId="4551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DFAC645">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063DF2F">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变速器</w:t>
            </w:r>
          </w:p>
        </w:tc>
        <w:tc>
          <w:tcPr>
            <w:tcW w:w="6180" w:type="dxa"/>
            <w:vAlign w:val="center"/>
          </w:tcPr>
          <w:p w14:paraId="66B87DE8">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≥6速手自动档</w:t>
            </w:r>
          </w:p>
        </w:tc>
      </w:tr>
      <w:tr w14:paraId="093E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53F2B3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F6F1D95">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最高时速</w:t>
            </w:r>
          </w:p>
        </w:tc>
        <w:tc>
          <w:tcPr>
            <w:tcW w:w="6180" w:type="dxa"/>
            <w:vAlign w:val="center"/>
          </w:tcPr>
          <w:p w14:paraId="07B05F84">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rPr>
              <w:t>0km/h</w:t>
            </w:r>
          </w:p>
        </w:tc>
      </w:tr>
      <w:tr w14:paraId="56E6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8892570">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CC5829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轮胎规格型号</w:t>
            </w:r>
          </w:p>
        </w:tc>
        <w:tc>
          <w:tcPr>
            <w:tcW w:w="6180" w:type="dxa"/>
            <w:vAlign w:val="center"/>
          </w:tcPr>
          <w:p w14:paraId="4FB1C5A0">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≥215/65R16C</w:t>
            </w:r>
          </w:p>
        </w:tc>
      </w:tr>
      <w:tr w14:paraId="282B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AF8C2A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6E182F9">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制动系统</w:t>
            </w:r>
          </w:p>
        </w:tc>
        <w:tc>
          <w:tcPr>
            <w:tcW w:w="6180" w:type="dxa"/>
            <w:vAlign w:val="center"/>
          </w:tcPr>
          <w:p w14:paraId="4175C921">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前盘后盘，并带有ABS刹车防抱死系统</w:t>
            </w:r>
          </w:p>
        </w:tc>
      </w:tr>
      <w:tr w14:paraId="02DD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0C66DF6">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BA9CB7B">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额定载客（含驾驶员）</w:t>
            </w:r>
          </w:p>
        </w:tc>
        <w:tc>
          <w:tcPr>
            <w:tcW w:w="6180" w:type="dxa"/>
            <w:vAlign w:val="center"/>
          </w:tcPr>
          <w:p w14:paraId="4C15A250">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7-8人</w:t>
            </w:r>
          </w:p>
        </w:tc>
      </w:tr>
      <w:tr w14:paraId="1BD7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0B6AB4EB">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w:t>
            </w:r>
          </w:p>
        </w:tc>
        <w:tc>
          <w:tcPr>
            <w:tcW w:w="1751" w:type="dxa"/>
            <w:vAlign w:val="center"/>
          </w:tcPr>
          <w:p w14:paraId="79534F77">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其他配置</w:t>
            </w:r>
          </w:p>
        </w:tc>
        <w:tc>
          <w:tcPr>
            <w:tcW w:w="6180" w:type="dxa"/>
            <w:vAlign w:val="center"/>
          </w:tcPr>
          <w:p w14:paraId="265923EE">
            <w:pPr>
              <w:widowControl/>
              <w:jc w:val="left"/>
              <w:rPr>
                <w:rFonts w:asciiTheme="minorEastAsia" w:hAnsiTheme="minorEastAsia" w:eastAsiaTheme="minorEastAsia" w:cstheme="minorEastAsia"/>
                <w:kern w:val="0"/>
                <w:sz w:val="24"/>
              </w:rPr>
            </w:pPr>
          </w:p>
        </w:tc>
      </w:tr>
      <w:tr w14:paraId="2C2A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5E353F3">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E433B0A">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车身结构</w:t>
            </w:r>
          </w:p>
        </w:tc>
        <w:tc>
          <w:tcPr>
            <w:tcW w:w="6180" w:type="dxa"/>
            <w:vAlign w:val="center"/>
          </w:tcPr>
          <w:p w14:paraId="15152A3C">
            <w:pPr>
              <w:widowControl/>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全金属封闭承载式车身</w:t>
            </w:r>
          </w:p>
        </w:tc>
      </w:tr>
      <w:tr w14:paraId="5C4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37B8ECE">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C58F2BC">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安全配置</w:t>
            </w:r>
          </w:p>
        </w:tc>
        <w:tc>
          <w:tcPr>
            <w:tcW w:w="6180" w:type="dxa"/>
            <w:vAlign w:val="center"/>
          </w:tcPr>
          <w:p w14:paraId="7B70C87D">
            <w:pPr>
              <w:widowControl/>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ESP+HHC</w:t>
            </w:r>
          </w:p>
        </w:tc>
      </w:tr>
      <w:tr w14:paraId="6005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A444959">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AB9D463">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车窗</w:t>
            </w:r>
          </w:p>
        </w:tc>
        <w:tc>
          <w:tcPr>
            <w:tcW w:w="6180" w:type="dxa"/>
            <w:vAlign w:val="center"/>
          </w:tcPr>
          <w:p w14:paraId="0CB7C25A">
            <w:pPr>
              <w:widowControl/>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前排电动门窗，侧拉们推拉窗</w:t>
            </w:r>
          </w:p>
        </w:tc>
      </w:tr>
      <w:tr w14:paraId="0809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FFAC049">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36AB2B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安全气囊</w:t>
            </w:r>
          </w:p>
        </w:tc>
        <w:tc>
          <w:tcPr>
            <w:tcW w:w="6180" w:type="dxa"/>
            <w:vAlign w:val="center"/>
          </w:tcPr>
          <w:p w14:paraId="47CB4228">
            <w:pPr>
              <w:widowControl/>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驾驶座（主）安全气囊</w:t>
            </w:r>
          </w:p>
        </w:tc>
      </w:tr>
      <w:tr w14:paraId="7DBA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86D2B53">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FDE147C">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钥匙</w:t>
            </w:r>
          </w:p>
        </w:tc>
        <w:tc>
          <w:tcPr>
            <w:tcW w:w="6180" w:type="dxa"/>
            <w:vAlign w:val="center"/>
          </w:tcPr>
          <w:p w14:paraId="3E761D0A">
            <w:pP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中控锁，</w:t>
            </w:r>
            <w:r>
              <w:rPr>
                <w:rFonts w:hint="eastAsia" w:asciiTheme="minorEastAsia" w:hAnsiTheme="minorEastAsia" w:eastAsiaTheme="minorEastAsia" w:cstheme="minorEastAsia"/>
                <w:color w:val="000000"/>
                <w:sz w:val="24"/>
              </w:rPr>
              <w:t>遥控钥匙</w:t>
            </w:r>
          </w:p>
        </w:tc>
      </w:tr>
      <w:tr w14:paraId="0C74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30450E9">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25658EA">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空调系统</w:t>
            </w:r>
          </w:p>
        </w:tc>
        <w:tc>
          <w:tcPr>
            <w:tcW w:w="6180" w:type="dxa"/>
            <w:vAlign w:val="center"/>
          </w:tcPr>
          <w:p w14:paraId="687CBBA7">
            <w:pPr>
              <w:widowControl/>
              <w:numPr>
                <w:ilvl w:val="0"/>
                <w:numId w:val="2"/>
              </w:numPr>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驾驶室原厂冷暖系统，医疗舱安装独立冷、暖一体空调。</w:t>
            </w:r>
          </w:p>
          <w:p w14:paraId="21013BFA">
            <w:pPr>
              <w:pStyle w:val="2"/>
              <w:numPr>
                <w:ilvl w:val="0"/>
                <w:numId w:val="2"/>
              </w:numPr>
            </w:pPr>
            <w:r>
              <w:rPr>
                <w:rFonts w:hint="eastAsia"/>
              </w:rPr>
              <w:t>在车辆静止，医疗舱内平均温度40℃的情况下开启车辆后空调。空调开启3分钟内，医疗舱内降温不低于10℃；10分钟内，医疗舱降温不低于15℃。</w:t>
            </w:r>
          </w:p>
          <w:p w14:paraId="2CF22970">
            <w:pPr>
              <w:pStyle w:val="3"/>
              <w:numPr>
                <w:ilvl w:val="0"/>
                <w:numId w:val="2"/>
              </w:numPr>
              <w:ind w:firstLine="0" w:firstLineChars="0"/>
            </w:pPr>
            <w:r>
              <w:t>加热系统在环境温度和舱内温度均为5℃的情况下，工作15 min 后医疗舱温度至少达到22℃</w:t>
            </w:r>
            <w:r>
              <w:rPr>
                <w:rFonts w:hint="eastAsia"/>
              </w:rPr>
              <w:t>；</w:t>
            </w:r>
            <w:r>
              <w:t>加热应由可调式温度控制装置或电子温度控制系统进行控制，实际温度不能超过设定温度5 ℃以上。</w:t>
            </w:r>
          </w:p>
          <w:p w14:paraId="3EF7BDAA">
            <w:pPr>
              <w:pStyle w:val="3"/>
              <w:ind w:firstLine="0" w:firstLineChars="0"/>
            </w:pPr>
            <w:r>
              <w:rPr>
                <w:rFonts w:hint="eastAsia" w:ascii="宋体" w:hAnsi="宋体" w:cs="宋体"/>
                <w:b/>
                <w:bCs/>
              </w:rPr>
              <w:t>需提供第三方检测机构出具的带有CMA或CNAS标识合格的检验检测报告，原件备查。</w:t>
            </w:r>
          </w:p>
        </w:tc>
      </w:tr>
      <w:tr w14:paraId="0558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13B4E2F">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508E835">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大灯</w:t>
            </w:r>
          </w:p>
        </w:tc>
        <w:tc>
          <w:tcPr>
            <w:tcW w:w="6180" w:type="dxa"/>
            <w:vAlign w:val="center"/>
          </w:tcPr>
          <w:p w14:paraId="54B9617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自动大灯</w:t>
            </w:r>
          </w:p>
        </w:tc>
      </w:tr>
      <w:tr w14:paraId="2BC4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790000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5317BE72">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胎压监测</w:t>
            </w:r>
          </w:p>
        </w:tc>
        <w:tc>
          <w:tcPr>
            <w:tcW w:w="6180" w:type="dxa"/>
            <w:vAlign w:val="center"/>
          </w:tcPr>
          <w:p w14:paraId="6E4DD7F0">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胎压监测系统</w:t>
            </w:r>
          </w:p>
        </w:tc>
      </w:tr>
      <w:tr w14:paraId="6C5B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4DC30A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01608FF">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雨刮系统</w:t>
            </w:r>
          </w:p>
        </w:tc>
        <w:tc>
          <w:tcPr>
            <w:tcW w:w="6180" w:type="dxa"/>
            <w:vAlign w:val="center"/>
          </w:tcPr>
          <w:p w14:paraId="3FB8BD57">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自动雨刮</w:t>
            </w:r>
          </w:p>
        </w:tc>
      </w:tr>
      <w:tr w14:paraId="7151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8CE2198">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F28ECFF">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驾驶辅佐</w:t>
            </w:r>
          </w:p>
        </w:tc>
        <w:tc>
          <w:tcPr>
            <w:tcW w:w="6180" w:type="dxa"/>
            <w:vAlign w:val="center"/>
          </w:tcPr>
          <w:p w14:paraId="327597E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定速巡航、多功能方向盘、可视倒车影像及倒车雷达。</w:t>
            </w:r>
          </w:p>
        </w:tc>
      </w:tr>
      <w:tr w14:paraId="2C00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F00AB03">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w:t>
            </w:r>
          </w:p>
        </w:tc>
        <w:tc>
          <w:tcPr>
            <w:tcW w:w="1751" w:type="dxa"/>
            <w:vAlign w:val="center"/>
          </w:tcPr>
          <w:p w14:paraId="5FA629B8">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医疗舱内外配置</w:t>
            </w:r>
          </w:p>
        </w:tc>
        <w:tc>
          <w:tcPr>
            <w:tcW w:w="6180" w:type="dxa"/>
            <w:vAlign w:val="center"/>
          </w:tcPr>
          <w:p w14:paraId="285F4E3E">
            <w:pPr>
              <w:widowControl/>
              <w:jc w:val="left"/>
              <w:rPr>
                <w:rFonts w:asciiTheme="minorEastAsia" w:hAnsiTheme="minorEastAsia" w:eastAsiaTheme="minorEastAsia" w:cstheme="minorEastAsia"/>
                <w:kern w:val="0"/>
                <w:sz w:val="24"/>
              </w:rPr>
            </w:pPr>
          </w:p>
        </w:tc>
      </w:tr>
      <w:tr w14:paraId="3181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23627D0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25100F9">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车身涂装</w:t>
            </w:r>
          </w:p>
        </w:tc>
        <w:tc>
          <w:tcPr>
            <w:tcW w:w="6180" w:type="dxa"/>
            <w:vAlign w:val="center"/>
          </w:tcPr>
          <w:p w14:paraId="2E6A1E9D">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（1）车辆外观根据最终用户统一标准设计。</w:t>
            </w:r>
          </w:p>
          <w:p w14:paraId="02074E67">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（2）所有标识采用国际知名品牌反光贴。</w:t>
            </w:r>
          </w:p>
          <w:p w14:paraId="438D5865">
            <w:pPr>
              <w:pStyle w:val="2"/>
              <w:rPr>
                <w:rFonts w:eastAsiaTheme="minorEastAsia"/>
              </w:rPr>
            </w:pPr>
            <w:r>
              <w:rPr>
                <w:rFonts w:hint="eastAsia" w:asciiTheme="minorEastAsia" w:hAnsiTheme="minorEastAsia" w:eastAsiaTheme="minorEastAsia" w:cstheme="minorEastAsia"/>
                <w:kern w:val="0"/>
              </w:rPr>
              <w:t>（3）医疗舱窗户上贴玻璃膜2/3。</w:t>
            </w:r>
          </w:p>
        </w:tc>
      </w:tr>
      <w:tr w14:paraId="5C84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347514E">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D6809D7">
            <w:pPr>
              <w:widowControl/>
              <w:jc w:val="center"/>
              <w:rPr>
                <w:rFonts w:asciiTheme="minorEastAsia" w:hAnsiTheme="minorEastAsia" w:eastAsiaTheme="minorEastAsia" w:cstheme="minorEastAsia"/>
                <w:kern w:val="0"/>
                <w:sz w:val="24"/>
              </w:rPr>
            </w:pPr>
            <w:r>
              <w:rPr>
                <w:rFonts w:hint="eastAsia" w:ascii="宋体" w:hAnsi="宋体" w:cs="宋体"/>
                <w:sz w:val="24"/>
              </w:rPr>
              <w:t>警报器</w:t>
            </w:r>
          </w:p>
        </w:tc>
        <w:tc>
          <w:tcPr>
            <w:tcW w:w="6180" w:type="dxa"/>
            <w:vAlign w:val="center"/>
          </w:tcPr>
          <w:p w14:paraId="0FE26576">
            <w:pPr>
              <w:widowControl/>
              <w:jc w:val="left"/>
              <w:rPr>
                <w:rFonts w:ascii="宋体" w:hAnsi="宋体" w:cs="宋体"/>
                <w:sz w:val="24"/>
              </w:rPr>
            </w:pPr>
            <w:r>
              <w:rPr>
                <w:rFonts w:hint="eastAsia" w:ascii="宋体" w:hAnsi="宋体" w:cs="宋体"/>
                <w:sz w:val="24"/>
              </w:rPr>
              <w:t>警调名称：开道、救护、手动、汽笛、低音</w:t>
            </w:r>
          </w:p>
          <w:p w14:paraId="2C8F85B1">
            <w:pPr>
              <w:widowControl/>
              <w:jc w:val="left"/>
              <w:rPr>
                <w:rFonts w:ascii="宋体" w:hAnsi="宋体" w:cs="宋体"/>
                <w:sz w:val="24"/>
              </w:rPr>
            </w:pPr>
            <w:r>
              <w:rPr>
                <w:rFonts w:hint="eastAsia" w:ascii="宋体" w:hAnsi="宋体" w:cs="宋体"/>
                <w:sz w:val="24"/>
              </w:rPr>
              <w:t>输出功率：100W</w:t>
            </w:r>
          </w:p>
          <w:p w14:paraId="4FF85975">
            <w:pPr>
              <w:widowControl/>
              <w:jc w:val="left"/>
              <w:rPr>
                <w:rFonts w:ascii="宋体" w:hAnsi="宋体" w:cs="宋体"/>
                <w:sz w:val="24"/>
              </w:rPr>
            </w:pPr>
            <w:r>
              <w:rPr>
                <w:rFonts w:hint="eastAsia" w:ascii="宋体" w:hAnsi="宋体" w:cs="宋体"/>
                <w:sz w:val="24"/>
              </w:rPr>
              <w:t>话筒频响：200Hz~10KHz±3dB</w:t>
            </w:r>
          </w:p>
          <w:p w14:paraId="34A81D8B">
            <w:pPr>
              <w:widowControl/>
              <w:jc w:val="left"/>
              <w:rPr>
                <w:rFonts w:asciiTheme="minorEastAsia" w:hAnsiTheme="minorEastAsia" w:eastAsiaTheme="minorEastAsia" w:cstheme="minorEastAsia"/>
                <w:kern w:val="0"/>
                <w:sz w:val="24"/>
              </w:rPr>
            </w:pPr>
            <w:r>
              <w:rPr>
                <w:rFonts w:hint="eastAsia" w:ascii="宋体" w:hAnsi="宋体" w:cs="宋体"/>
                <w:sz w:val="24"/>
              </w:rPr>
              <w:t>新增灯控：3路灯控</w:t>
            </w:r>
          </w:p>
        </w:tc>
      </w:tr>
      <w:tr w14:paraId="502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D938E4A">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5D4CBC22">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宋体" w:hAnsi="宋体" w:cs="宋体"/>
                <w:sz w:val="24"/>
              </w:rPr>
              <w:t>警灯系统</w:t>
            </w:r>
          </w:p>
        </w:tc>
        <w:tc>
          <w:tcPr>
            <w:tcW w:w="6180" w:type="dxa"/>
            <w:vAlign w:val="center"/>
          </w:tcPr>
          <w:p w14:paraId="6E22ED39">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（1）车顶前部设有警灯平台，平台前部装有左、中、右三方位嵌入式LED蓝色警灯，警灯平台略低于车身高度。</w:t>
            </w:r>
          </w:p>
          <w:p w14:paraId="1F88382E">
            <w:pPr>
              <w:pStyle w:val="2"/>
            </w:pPr>
            <w:r>
              <w:rPr>
                <w:rFonts w:hint="eastAsia"/>
              </w:rPr>
              <w:t>（2）车辆尾门安装不少于2盏LED蓝色方形警灯。</w:t>
            </w:r>
          </w:p>
          <w:p w14:paraId="5F550053">
            <w:pPr>
              <w:pStyle w:val="2"/>
            </w:pPr>
            <w:r>
              <w:rPr>
                <w:rFonts w:hint="eastAsia"/>
              </w:rPr>
              <w:t>（3）车顶左右两侧安装不少于6盏LED蓝色方形警灯。</w:t>
            </w:r>
          </w:p>
          <w:p w14:paraId="2A8C5DB3">
            <w:pPr>
              <w:pStyle w:val="2"/>
              <w:jc w:val="left"/>
              <w:rPr>
                <w:rFonts w:asciiTheme="minorEastAsia" w:hAnsiTheme="minorEastAsia" w:eastAsiaTheme="minorEastAsia" w:cstheme="minorEastAsia"/>
                <w:kern w:val="0"/>
              </w:rPr>
            </w:pPr>
            <w:r>
              <w:rPr>
                <w:rFonts w:hint="eastAsia" w:ascii="宋体" w:hAnsi="宋体" w:cs="宋体"/>
                <w:b/>
                <w:bCs/>
              </w:rPr>
              <w:t>需提供提供该车辆型号在工业和信息化部装备工业发展中心的《道路机动车辆生产企业及产品信息查询系统》产品信息含网址打印出来的汽车产品技术参数详细页面证明，要求内容能体现满足上述参数要求。同时提供在工业和信息化部装备工业发展中心的http://app.miit-eidc.org.cn/miitxxgk/gonggao_xxgk/index.html查询截图佐证。</w:t>
            </w:r>
          </w:p>
        </w:tc>
      </w:tr>
      <w:tr w14:paraId="12EE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E389BFE">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B4EAF09">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外场照明灯</w:t>
            </w:r>
          </w:p>
        </w:tc>
        <w:tc>
          <w:tcPr>
            <w:tcW w:w="6180" w:type="dxa"/>
            <w:vAlign w:val="center"/>
          </w:tcPr>
          <w:p w14:paraId="1125FDE7">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中门上方和医疗舱后门处安装LED外场照明灯。</w:t>
            </w:r>
          </w:p>
        </w:tc>
      </w:tr>
      <w:tr w14:paraId="4F2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41FCF9A">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1F2577AC">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输液照明射灯</w:t>
            </w:r>
          </w:p>
        </w:tc>
        <w:tc>
          <w:tcPr>
            <w:tcW w:w="6180" w:type="dxa"/>
            <w:vAlign w:val="center"/>
          </w:tcPr>
          <w:p w14:paraId="1D048B26">
            <w:pPr>
              <w:widowControl/>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医疗舱顶部安装2盏输液照明射灯，可调节照射角度，可在急救时加强局部位置的亮度。</w:t>
            </w:r>
          </w:p>
        </w:tc>
      </w:tr>
      <w:tr w14:paraId="6078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A6510C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EEAE978">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工作照明灯</w:t>
            </w:r>
          </w:p>
        </w:tc>
        <w:tc>
          <w:tcPr>
            <w:tcW w:w="6180" w:type="dxa"/>
            <w:vAlign w:val="center"/>
          </w:tcPr>
          <w:p w14:paraId="164980A4">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医疗舱内部安装</w:t>
            </w:r>
            <w:r>
              <w:rPr>
                <w:rFonts w:hint="eastAsia" w:asciiTheme="minorEastAsia" w:hAnsiTheme="minorEastAsia" w:eastAsiaTheme="minorEastAsia" w:cstheme="minorEastAsia"/>
                <w:sz w:val="24"/>
              </w:rPr>
              <w:t>4盏</w:t>
            </w:r>
            <w:r>
              <w:rPr>
                <w:rFonts w:hint="eastAsia" w:asciiTheme="minorEastAsia" w:hAnsiTheme="minorEastAsia" w:eastAsiaTheme="minorEastAsia" w:cstheme="minorEastAsia"/>
                <w:kern w:val="0"/>
                <w:sz w:val="24"/>
              </w:rPr>
              <w:t>LED方形照明灯</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照明范围广，光线柔和不刺眼。</w:t>
            </w:r>
          </w:p>
        </w:tc>
      </w:tr>
      <w:tr w14:paraId="31C7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4A2F9AF">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AB288FA">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门控照明灯</w:t>
            </w:r>
          </w:p>
        </w:tc>
        <w:tc>
          <w:tcPr>
            <w:tcW w:w="6180" w:type="dxa"/>
            <w:vAlign w:val="center"/>
          </w:tcPr>
          <w:p w14:paraId="54A336C7">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医疗舱安装</w:t>
            </w:r>
            <w:r>
              <w:rPr>
                <w:rFonts w:hint="eastAsia" w:asciiTheme="minorEastAsia" w:hAnsiTheme="minorEastAsia" w:eastAsiaTheme="minorEastAsia" w:cstheme="minorEastAsia"/>
                <w:sz w:val="24"/>
              </w:rPr>
              <w:t>1盏</w:t>
            </w:r>
            <w:r>
              <w:rPr>
                <w:rFonts w:hint="eastAsia" w:asciiTheme="minorEastAsia" w:hAnsiTheme="minorEastAsia" w:eastAsiaTheme="minorEastAsia" w:cstheme="minorEastAsia"/>
                <w:kern w:val="0"/>
                <w:sz w:val="24"/>
              </w:rPr>
              <w:t>LED门控照明灯</w:t>
            </w:r>
          </w:p>
        </w:tc>
      </w:tr>
      <w:tr w14:paraId="0C73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17A19F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9F829F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中央电源分配系统</w:t>
            </w:r>
          </w:p>
        </w:tc>
        <w:tc>
          <w:tcPr>
            <w:tcW w:w="6180" w:type="dxa"/>
            <w:vAlign w:val="center"/>
          </w:tcPr>
          <w:p w14:paraId="0B1B8A0F">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由主电瓶、辅助电瓶、智能充电控制装置、带充电功能正弦波逆变器、电控箱、线束、控制面板构成。</w:t>
            </w:r>
          </w:p>
        </w:tc>
      </w:tr>
      <w:tr w14:paraId="5FCB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4" w:type="dxa"/>
            <w:vAlign w:val="center"/>
          </w:tcPr>
          <w:p w14:paraId="3D292ADA">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C1C0489">
            <w:pPr>
              <w:widowControl/>
              <w:jc w:val="center"/>
              <w:rPr>
                <w:rFonts w:asciiTheme="minorEastAsia" w:hAnsiTheme="minorEastAsia" w:eastAsiaTheme="minorEastAsia" w:cstheme="minorEastAsia"/>
                <w:kern w:val="0"/>
                <w:sz w:val="24"/>
              </w:rPr>
            </w:pPr>
            <w:r>
              <w:rPr>
                <w:rFonts w:hint="eastAsia" w:ascii="宋体" w:hAnsi="宋体" w:cs="宋体"/>
                <w:sz w:val="24"/>
              </w:rPr>
              <w:t>车用紧急启动控制装置</w:t>
            </w:r>
          </w:p>
        </w:tc>
        <w:tc>
          <w:tcPr>
            <w:tcW w:w="6180" w:type="dxa"/>
            <w:vAlign w:val="center"/>
          </w:tcPr>
          <w:p w14:paraId="7155218B">
            <w:pPr>
              <w:widowControl/>
              <w:jc w:val="left"/>
              <w:rPr>
                <w:rFonts w:ascii="宋体" w:hAnsi="宋体" w:cs="宋体"/>
                <w:sz w:val="24"/>
              </w:rPr>
            </w:pPr>
            <w:r>
              <w:rPr>
                <w:rFonts w:hint="eastAsia" w:ascii="宋体" w:hAnsi="宋体" w:cs="宋体"/>
                <w:sz w:val="24"/>
              </w:rPr>
              <w:t>当主电瓶在低于12V无法正常启动时，按住紧急启动开关可以借助辅助电瓶令汽车迅速启动。</w:t>
            </w:r>
          </w:p>
          <w:p w14:paraId="50968900">
            <w:pPr>
              <w:widowControl/>
              <w:jc w:val="left"/>
              <w:rPr>
                <w:rFonts w:asciiTheme="minorEastAsia" w:hAnsiTheme="minorEastAsia" w:eastAsiaTheme="minorEastAsia" w:cstheme="minorEastAsia"/>
                <w:kern w:val="0"/>
                <w:sz w:val="24"/>
              </w:rPr>
            </w:pPr>
            <w:r>
              <w:rPr>
                <w:rFonts w:hint="eastAsia" w:ascii="宋体" w:hAnsi="宋体" w:cs="宋体"/>
                <w:b/>
                <w:bCs/>
                <w:sz w:val="24"/>
              </w:rPr>
              <w:t>需提供产品厂家技术白皮书或第三方机构、国家新能源汽车质量监督体验中心出具的检验报告等作为技术证明文件，否则视为负偏离。</w:t>
            </w:r>
          </w:p>
        </w:tc>
      </w:tr>
      <w:tr w14:paraId="04B4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94" w:type="dxa"/>
            <w:vAlign w:val="center"/>
          </w:tcPr>
          <w:p w14:paraId="487E2E2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03B21F1">
            <w:pPr>
              <w:widowControl/>
              <w:jc w:val="center"/>
              <w:rPr>
                <w:rFonts w:asciiTheme="minorEastAsia" w:hAnsiTheme="minorEastAsia" w:eastAsiaTheme="minorEastAsia" w:cstheme="minorEastAsia"/>
                <w:kern w:val="0"/>
                <w:sz w:val="24"/>
              </w:rPr>
            </w:pPr>
            <w:r>
              <w:rPr>
                <w:rFonts w:hint="eastAsia" w:ascii="宋体" w:hAnsi="宋体" w:cs="宋体"/>
                <w:sz w:val="24"/>
              </w:rPr>
              <w:t>智能充电控制装置</w:t>
            </w:r>
          </w:p>
        </w:tc>
        <w:tc>
          <w:tcPr>
            <w:tcW w:w="6180" w:type="dxa"/>
            <w:vAlign w:val="center"/>
          </w:tcPr>
          <w:p w14:paraId="1DE59FDC">
            <w:pPr>
              <w:widowControl/>
              <w:jc w:val="left"/>
              <w:rPr>
                <w:rFonts w:ascii="宋体" w:hAnsi="宋体" w:cs="宋体"/>
                <w:sz w:val="24"/>
              </w:rPr>
            </w:pPr>
            <w:r>
              <w:rPr>
                <w:rFonts w:hint="eastAsia" w:ascii="宋体" w:hAnsi="宋体" w:cs="宋体"/>
                <w:sz w:val="24"/>
              </w:rPr>
              <w:t>确保主电瓶的正常充电，自动断开避免发电机过载，延长发电机寿命，辅助电瓶独立工作，避免偷耗主电瓶电能。</w:t>
            </w:r>
          </w:p>
          <w:p w14:paraId="60EA87FE">
            <w:pPr>
              <w:widowControl/>
              <w:jc w:val="left"/>
              <w:rPr>
                <w:rFonts w:asciiTheme="minorEastAsia" w:hAnsiTheme="minorEastAsia" w:eastAsiaTheme="minorEastAsia" w:cstheme="minorEastAsia"/>
                <w:kern w:val="0"/>
                <w:sz w:val="24"/>
              </w:rPr>
            </w:pPr>
            <w:r>
              <w:rPr>
                <w:rFonts w:hint="eastAsia" w:ascii="宋体" w:hAnsi="宋体" w:cs="宋体"/>
                <w:b/>
                <w:bCs/>
                <w:sz w:val="24"/>
              </w:rPr>
              <w:t>需提供产品厂家技术白皮书或第三方机构、国家新能源汽车质量监督体验中心出具的检验报告等作为技术证明文件，否则视为负偏离。</w:t>
            </w:r>
          </w:p>
        </w:tc>
      </w:tr>
      <w:tr w14:paraId="30F0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4" w:type="dxa"/>
            <w:vAlign w:val="center"/>
          </w:tcPr>
          <w:p w14:paraId="0B782A30">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11225212">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附加电瓶</w:t>
            </w:r>
          </w:p>
        </w:tc>
        <w:tc>
          <w:tcPr>
            <w:tcW w:w="6180" w:type="dxa"/>
            <w:vAlign w:val="center"/>
          </w:tcPr>
          <w:p w14:paraId="2DCED4BD">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kern w:val="0"/>
                <w:sz w:val="24"/>
              </w:rPr>
              <w:t>配有1套车载专用附加免维护蓄电池（12V/60A），可供医疗舱用电器使用。</w:t>
            </w:r>
          </w:p>
        </w:tc>
      </w:tr>
      <w:tr w14:paraId="3833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1243C1F">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6795E30">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逆变器</w:t>
            </w:r>
          </w:p>
        </w:tc>
        <w:tc>
          <w:tcPr>
            <w:tcW w:w="6180" w:type="dxa"/>
            <w:vAlign w:val="center"/>
          </w:tcPr>
          <w:p w14:paraId="4EFB1141">
            <w:pPr>
              <w:widowControl/>
              <w:jc w:val="left"/>
              <w:rPr>
                <w:rFonts w:asciiTheme="minorEastAsia" w:hAnsiTheme="minorEastAsia" w:eastAsiaTheme="minorEastAsia" w:cstheme="minorEastAsia"/>
                <w:kern w:val="0"/>
                <w:sz w:val="24"/>
              </w:rPr>
            </w:pPr>
            <w:r>
              <w:rPr>
                <w:rFonts w:hint="eastAsia" w:ascii="宋体" w:hAnsi="宋体" w:cs="宋体"/>
                <w:sz w:val="24"/>
              </w:rPr>
              <w:t>安装智能逆变/充电一体机，可实现车辆启动状态下24小时不间断供电，可输出220V，不小于1000W纯正弦波电源供医疗设备使用。</w:t>
            </w:r>
          </w:p>
        </w:tc>
      </w:tr>
      <w:tr w14:paraId="3BCF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73DEE4F">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5C12E824">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电源插座</w:t>
            </w:r>
          </w:p>
        </w:tc>
        <w:tc>
          <w:tcPr>
            <w:tcW w:w="6180" w:type="dxa"/>
            <w:vAlign w:val="center"/>
          </w:tcPr>
          <w:p w14:paraId="55DA0614">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kern w:val="0"/>
                <w:sz w:val="24"/>
              </w:rPr>
              <w:t>医疗舱响应位置配置不少于4组交流（220V）电源插座组，不少于1组直流（12V）电源插座带USB接口。</w:t>
            </w:r>
          </w:p>
        </w:tc>
      </w:tr>
      <w:tr w14:paraId="12F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C7DAA63">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A9A4839">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外接电源</w:t>
            </w:r>
          </w:p>
        </w:tc>
        <w:tc>
          <w:tcPr>
            <w:tcW w:w="6180" w:type="dxa"/>
            <w:vAlign w:val="center"/>
          </w:tcPr>
          <w:p w14:paraId="4D85F8A8">
            <w:pPr>
              <w:widowControl/>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kern w:val="0"/>
                <w:sz w:val="24"/>
              </w:rPr>
              <w:t>安装外接电源（220V/16A防水、带防护盖)，配不少于15米移动电缆。</w:t>
            </w:r>
          </w:p>
        </w:tc>
      </w:tr>
      <w:tr w14:paraId="6703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02210B9B">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DA503EF">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控制系统</w:t>
            </w:r>
          </w:p>
        </w:tc>
        <w:tc>
          <w:tcPr>
            <w:tcW w:w="6180" w:type="dxa"/>
            <w:vAlign w:val="center"/>
          </w:tcPr>
          <w:p w14:paraId="2C1BAF47">
            <w:pPr>
              <w:widowControl/>
              <w:rPr>
                <w:rFonts w:ascii="宋体" w:hAnsi="宋体" w:cs="宋体"/>
                <w:color w:val="000000"/>
                <w:kern w:val="0"/>
                <w:sz w:val="24"/>
              </w:rPr>
            </w:pPr>
            <w:r>
              <w:rPr>
                <w:rFonts w:hint="eastAsia" w:ascii="宋体" w:hAnsi="宋体" w:cs="宋体"/>
                <w:color w:val="000000"/>
                <w:kern w:val="0"/>
                <w:sz w:val="24"/>
              </w:rPr>
              <w:t>（1）驾驶室和医疗舱各装一组控制面板。面板采用超薄集成双回路电路，两面板联动控制，采用触摸式按钮。</w:t>
            </w:r>
          </w:p>
          <w:p w14:paraId="0A918262">
            <w:pPr>
              <w:widowControl/>
              <w:rPr>
                <w:rFonts w:ascii="宋体" w:hAnsi="宋体" w:cs="宋体"/>
                <w:color w:val="000000"/>
                <w:kern w:val="0"/>
                <w:sz w:val="24"/>
              </w:rPr>
            </w:pPr>
            <w:r>
              <w:rPr>
                <w:rFonts w:hint="eastAsia" w:ascii="宋体" w:hAnsi="宋体" w:cs="宋体"/>
                <w:color w:val="000000"/>
                <w:kern w:val="0"/>
                <w:sz w:val="24"/>
              </w:rPr>
              <w:t>（2）医疗舱控制面板可操作：照明灯、换气系统、前后对讲系统、内射灯、</w:t>
            </w:r>
            <w:r>
              <w:rPr>
                <w:rFonts w:hint="eastAsia" w:ascii="宋体" w:hAnsi="宋体" w:cs="宋体"/>
                <w:sz w:val="24"/>
              </w:rPr>
              <w:t>220V电源</w:t>
            </w:r>
            <w:r>
              <w:rPr>
                <w:rFonts w:hint="eastAsia" w:ascii="宋体" w:hAnsi="宋体" w:cs="宋体"/>
                <w:color w:val="000000"/>
                <w:kern w:val="0"/>
                <w:sz w:val="24"/>
              </w:rPr>
              <w:t>。</w:t>
            </w:r>
          </w:p>
          <w:p w14:paraId="005FEA81">
            <w:pPr>
              <w:widowControl/>
              <w:rPr>
                <w:rFonts w:ascii="宋体" w:hAnsi="宋体" w:cs="宋体"/>
                <w:color w:val="000000"/>
                <w:kern w:val="0"/>
                <w:sz w:val="24"/>
              </w:rPr>
            </w:pPr>
            <w:r>
              <w:rPr>
                <w:rFonts w:hint="eastAsia" w:ascii="宋体" w:hAnsi="宋体" w:cs="宋体"/>
                <w:color w:val="000000"/>
                <w:kern w:val="0"/>
                <w:sz w:val="24"/>
              </w:rPr>
              <w:t>（3）驾驶室控制面板可操作对讲机、内射灯、照明灯。</w:t>
            </w:r>
          </w:p>
          <w:p w14:paraId="02C8A3BF">
            <w:pPr>
              <w:pStyle w:val="2"/>
            </w:pPr>
            <w:r>
              <w:rPr>
                <w:rFonts w:hint="eastAsia" w:ascii="宋体" w:hAnsi="宋体" w:cs="宋体"/>
                <w:color w:val="000000"/>
                <w:kern w:val="0"/>
              </w:rPr>
              <w:t>（4）驾驶室触控与医疗舱面板联动控制。</w:t>
            </w:r>
          </w:p>
          <w:p w14:paraId="072EA05D">
            <w:pPr>
              <w:pStyle w:val="2"/>
            </w:pPr>
            <w:r>
              <w:rPr>
                <w:rFonts w:ascii="宋体" w:hAnsi="宋体" w:cs="宋体"/>
                <w:b/>
                <w:bCs/>
              </w:rPr>
              <w:t>需提供产品厂家技术白皮书或第三方机构、国家新能源汽车质量监督体验中心出具的检验报告等作为技术证明文件，否则视为负偏离。</w:t>
            </w:r>
          </w:p>
        </w:tc>
      </w:tr>
      <w:tr w14:paraId="040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F377604">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006A806">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color w:val="000000"/>
                <w:kern w:val="0"/>
                <w:sz w:val="24"/>
              </w:rPr>
              <w:t>汽车电线束</w:t>
            </w:r>
          </w:p>
        </w:tc>
        <w:tc>
          <w:tcPr>
            <w:tcW w:w="6180" w:type="dxa"/>
            <w:vAlign w:val="center"/>
          </w:tcPr>
          <w:p w14:paraId="2429A203">
            <w:pPr>
              <w:widowControl/>
              <w:numPr>
                <w:ilvl w:val="0"/>
                <w:numId w:val="3"/>
              </w:numP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汽车电线束的尺寸、外观、绝缘层压接弯折、连接力检验、端子截面分析、电压降试验、橡胶件防水、振动、导通试验、高地温试验、盐雾试验、恒定湿热试验、耐工业溶剂试验及阻燃性能均符合国家汽车行业标准《QC/T 29106-2014汽车电线束技术条件》的要求。</w:t>
            </w:r>
          </w:p>
          <w:p w14:paraId="50A1D045">
            <w:pPr>
              <w:pStyle w:val="2"/>
              <w:numPr>
                <w:ilvl w:val="0"/>
                <w:numId w:val="3"/>
              </w:numPr>
            </w:pPr>
            <w:r>
              <w:rPr>
                <w:rFonts w:hint="eastAsia" w:ascii="宋体" w:hAnsi="宋体" w:cs="宋体"/>
              </w:rPr>
              <w:t>汽车电线束依据GB/T30512-2014《汽车禁用物质要求》要求未检测出镉（Cd）、铅（Pb）、六价铬（Cr6+）、汞（Hg）、多溴联苯（PBBs）、多溴联苯醚（PBDEs）。</w:t>
            </w:r>
          </w:p>
          <w:p w14:paraId="635CD739">
            <w:pPr>
              <w:widowControl/>
              <w:rPr>
                <w:rFonts w:asciiTheme="minorEastAsia" w:hAnsiTheme="minorEastAsia" w:eastAsiaTheme="minorEastAsia" w:cstheme="minorEastAsia"/>
                <w:kern w:val="0"/>
                <w:sz w:val="24"/>
              </w:rPr>
            </w:pPr>
            <w:r>
              <w:rPr>
                <w:rFonts w:hint="eastAsia" w:ascii="宋体" w:hAnsi="宋体" w:cs="宋体"/>
                <w:b/>
                <w:bCs/>
                <w:sz w:val="24"/>
              </w:rPr>
              <w:t>需提供第三方检测机构出具的带有CMA或CNAS标识合格的检验检测报告</w:t>
            </w:r>
            <w:r>
              <w:rPr>
                <w:rFonts w:hint="eastAsia" w:ascii="宋体" w:hAnsi="宋体" w:cs="宋体"/>
                <w:b/>
                <w:bCs/>
                <w:sz w:val="24"/>
                <w:lang w:eastAsia="zh-CN"/>
              </w:rPr>
              <w:t>，</w:t>
            </w:r>
            <w:r>
              <w:rPr>
                <w:rFonts w:hint="eastAsia" w:ascii="宋体" w:hAnsi="宋体" w:cs="宋体"/>
                <w:b/>
                <w:bCs/>
                <w:sz w:val="24"/>
              </w:rPr>
              <w:t>要求内容能体现满足上述参数要求，原件备查。</w:t>
            </w:r>
          </w:p>
        </w:tc>
      </w:tr>
      <w:tr w14:paraId="4D9C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9575EAA">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605E8B2">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color w:val="000000"/>
                <w:kern w:val="0"/>
                <w:sz w:val="24"/>
              </w:rPr>
              <w:t>电控箱</w:t>
            </w:r>
          </w:p>
        </w:tc>
        <w:tc>
          <w:tcPr>
            <w:tcW w:w="6180" w:type="dxa"/>
            <w:vAlign w:val="center"/>
          </w:tcPr>
          <w:p w14:paraId="4F736CA1">
            <w:pPr>
              <w:widowControl/>
              <w:rPr>
                <w:rFonts w:asciiTheme="minorEastAsia" w:hAnsiTheme="minorEastAsia" w:eastAsiaTheme="minorEastAsia" w:cstheme="minorEastAsia"/>
                <w:kern w:val="0"/>
                <w:sz w:val="24"/>
              </w:rPr>
            </w:pPr>
            <w:r>
              <w:rPr>
                <w:rFonts w:hint="eastAsia" w:cs="宋体" w:asciiTheme="majorEastAsia" w:hAnsiTheme="majorEastAsia" w:eastAsiaTheme="majorEastAsia"/>
                <w:color w:val="000000"/>
                <w:kern w:val="0"/>
                <w:sz w:val="24"/>
              </w:rPr>
              <w:t>配备电控箱：利于维护保养的模块集成设计，且</w:t>
            </w:r>
            <w:r>
              <w:rPr>
                <w:rFonts w:hint="eastAsia" w:cs="宋体" w:asciiTheme="majorEastAsia" w:hAnsiTheme="majorEastAsia" w:eastAsiaTheme="majorEastAsia"/>
                <w:color w:val="000000"/>
                <w:kern w:val="0"/>
                <w:sz w:val="24"/>
                <w:lang w:val="zh-CN"/>
              </w:rPr>
              <w:t>在220V电源输出端装有漏电及短路保护器。</w:t>
            </w:r>
          </w:p>
        </w:tc>
      </w:tr>
      <w:tr w14:paraId="4002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BE348A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2D96EEB">
            <w:pPr>
              <w:widowControl/>
              <w:jc w:val="center"/>
              <w:rPr>
                <w:rFonts w:asciiTheme="minorEastAsia" w:hAnsiTheme="minorEastAsia" w:eastAsiaTheme="minorEastAsia" w:cstheme="minorEastAsia"/>
                <w:kern w:val="0"/>
                <w:sz w:val="24"/>
              </w:rPr>
            </w:pPr>
            <w:r>
              <w:rPr>
                <w:rFonts w:hint="eastAsia" w:ascii="宋体" w:hAnsi="宋体" w:cs="宋体"/>
                <w:sz w:val="24"/>
              </w:rPr>
              <w:t>灭菌灯</w:t>
            </w:r>
          </w:p>
        </w:tc>
        <w:tc>
          <w:tcPr>
            <w:tcW w:w="6180" w:type="dxa"/>
            <w:vAlign w:val="center"/>
          </w:tcPr>
          <w:p w14:paraId="79608031">
            <w:pPr>
              <w:widowControl/>
              <w:jc w:val="left"/>
              <w:rPr>
                <w:rFonts w:asciiTheme="minorEastAsia" w:hAnsiTheme="minorEastAsia" w:eastAsiaTheme="minorEastAsia" w:cstheme="minorEastAsia"/>
                <w:kern w:val="0"/>
                <w:sz w:val="24"/>
              </w:rPr>
            </w:pPr>
            <w:r>
              <w:rPr>
                <w:rFonts w:hint="eastAsia" w:ascii="宋体" w:hAnsi="宋体" w:cs="宋体"/>
                <w:sz w:val="24"/>
              </w:rPr>
              <w:t>医疗舱安装1盏紫外光灭菌灯：灭菌灯开关集成到医疗舱控制面板，电源启动后，灭菌灯将在延时1分钟后工作，30分钟后自动关闭。</w:t>
            </w:r>
          </w:p>
        </w:tc>
      </w:tr>
      <w:tr w14:paraId="73D7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4" w:type="dxa"/>
            <w:vAlign w:val="center"/>
          </w:tcPr>
          <w:p w14:paraId="78F3D6DE">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51848C0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换气系统</w:t>
            </w:r>
          </w:p>
        </w:tc>
        <w:tc>
          <w:tcPr>
            <w:tcW w:w="6180" w:type="dxa"/>
            <w:vAlign w:val="center"/>
          </w:tcPr>
          <w:p w14:paraId="7BAC5708">
            <w:pPr>
              <w:widowControl/>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医疗舱安装1套双向换气系统（进出风）。</w:t>
            </w:r>
          </w:p>
        </w:tc>
      </w:tr>
      <w:tr w14:paraId="385D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A60B16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2955C73">
            <w:pPr>
              <w:widowControl/>
              <w:jc w:val="center"/>
              <w:rPr>
                <w:rFonts w:asciiTheme="minorEastAsia" w:hAnsiTheme="minorEastAsia" w:eastAsiaTheme="minorEastAsia" w:cstheme="minorEastAsia"/>
                <w:kern w:val="0"/>
                <w:sz w:val="24"/>
              </w:rPr>
            </w:pPr>
            <w:r>
              <w:rPr>
                <w:rFonts w:hint="eastAsia" w:ascii="宋体" w:hAnsi="宋体" w:cs="宋体"/>
                <w:sz w:val="24"/>
              </w:rPr>
              <w:t>对讲系统</w:t>
            </w:r>
          </w:p>
        </w:tc>
        <w:tc>
          <w:tcPr>
            <w:tcW w:w="6180" w:type="dxa"/>
            <w:vAlign w:val="center"/>
          </w:tcPr>
          <w:p w14:paraId="366C1B1F">
            <w:pPr>
              <w:widowControl/>
              <w:jc w:val="left"/>
              <w:rPr>
                <w:rFonts w:asciiTheme="minorEastAsia" w:hAnsiTheme="minorEastAsia" w:cstheme="minorEastAsia"/>
                <w:kern w:val="0"/>
                <w:sz w:val="24"/>
              </w:rPr>
            </w:pPr>
            <w:r>
              <w:rPr>
                <w:rFonts w:hint="eastAsia" w:ascii="宋体" w:hAnsi="宋体" w:cs="宋体"/>
                <w:sz w:val="24"/>
              </w:rPr>
              <w:t>配置1套前后对讲系统。</w:t>
            </w:r>
          </w:p>
        </w:tc>
      </w:tr>
      <w:tr w14:paraId="219D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B028C37">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28957E4">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防撞保护</w:t>
            </w:r>
          </w:p>
        </w:tc>
        <w:tc>
          <w:tcPr>
            <w:tcW w:w="6180" w:type="dxa"/>
            <w:vAlign w:val="center"/>
          </w:tcPr>
          <w:p w14:paraId="5BBEE26A">
            <w:pPr>
              <w:widowControl/>
              <w:jc w:val="left"/>
              <w:rPr>
                <w:rFonts w:asciiTheme="minorEastAsia" w:hAnsiTheme="minorEastAsia" w:eastAsiaTheme="minorEastAsia" w:cstheme="minorEastAsia"/>
                <w:kern w:val="0"/>
                <w:sz w:val="24"/>
              </w:rPr>
            </w:pPr>
            <w:r>
              <w:rPr>
                <w:rFonts w:hint="eastAsia" w:ascii="宋体" w:hAnsi="宋体" w:cs="宋体"/>
                <w:sz w:val="24"/>
              </w:rPr>
              <w:t>配置</w:t>
            </w:r>
            <w:r>
              <w:rPr>
                <w:rFonts w:hint="eastAsia" w:asciiTheme="minorEastAsia" w:hAnsiTheme="minorEastAsia" w:eastAsiaTheme="minorEastAsia" w:cstheme="minorEastAsia"/>
                <w:kern w:val="0"/>
                <w:sz w:val="24"/>
              </w:rPr>
              <w:t>1套侧门和后门上车头部防撞保护</w:t>
            </w:r>
          </w:p>
        </w:tc>
      </w:tr>
      <w:tr w14:paraId="715E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7A71C1D6">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BF922F8">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安全扶手</w:t>
            </w:r>
          </w:p>
        </w:tc>
        <w:tc>
          <w:tcPr>
            <w:tcW w:w="6180" w:type="dxa"/>
            <w:vAlign w:val="center"/>
          </w:tcPr>
          <w:p w14:paraId="39445BDE">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医疗舱顶部安装1条黄色尼龙抗菌扶手。</w:t>
            </w:r>
          </w:p>
        </w:tc>
      </w:tr>
      <w:tr w14:paraId="1259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3371DF5A">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1ED6F07A">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输液挂架</w:t>
            </w:r>
          </w:p>
        </w:tc>
        <w:tc>
          <w:tcPr>
            <w:tcW w:w="6180" w:type="dxa"/>
            <w:vAlign w:val="center"/>
          </w:tcPr>
          <w:p w14:paraId="1A4A8674">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医疗舱顶部安装1个输液挂架。</w:t>
            </w:r>
          </w:p>
        </w:tc>
      </w:tr>
      <w:tr w14:paraId="4650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AED0126">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9D87AE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保温隔热</w:t>
            </w:r>
          </w:p>
        </w:tc>
        <w:tc>
          <w:tcPr>
            <w:tcW w:w="6180" w:type="dxa"/>
            <w:vAlign w:val="center"/>
          </w:tcPr>
          <w:p w14:paraId="2AA79C4B">
            <w:pPr>
              <w:widowControl/>
              <w:jc w:val="left"/>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医疗舱设有保温隔热层，保温隔热材料。</w:t>
            </w:r>
          </w:p>
        </w:tc>
      </w:tr>
      <w:tr w14:paraId="4541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003F637">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D0ACC70">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分隔墙</w:t>
            </w:r>
          </w:p>
        </w:tc>
        <w:tc>
          <w:tcPr>
            <w:tcW w:w="6180" w:type="dxa"/>
            <w:vAlign w:val="center"/>
          </w:tcPr>
          <w:p w14:paraId="6223B951">
            <w:pPr>
              <w:widowControl/>
              <w:jc w:val="left"/>
              <w:rPr>
                <w:rFonts w:asciiTheme="minorEastAsia" w:hAnsiTheme="minorEastAsia" w:eastAsiaTheme="minorEastAsia" w:cstheme="minorEastAsia"/>
                <w:kern w:val="0"/>
                <w:sz w:val="24"/>
              </w:rPr>
            </w:pPr>
            <w:r>
              <w:rPr>
                <w:rFonts w:hint="eastAsia" w:ascii="宋体" w:hAnsi="宋体" w:cs="宋体"/>
                <w:sz w:val="24"/>
              </w:rPr>
              <w:t>安装分隔墙，带可推拉窗户；将车厢前后分隔成驾驶室和医疗舱两个区域。</w:t>
            </w:r>
          </w:p>
        </w:tc>
      </w:tr>
      <w:tr w14:paraId="53B3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14:paraId="6797EABD">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B60B789">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内饰材料及工艺</w:t>
            </w:r>
          </w:p>
        </w:tc>
        <w:tc>
          <w:tcPr>
            <w:tcW w:w="6180" w:type="dxa"/>
            <w:vAlign w:val="center"/>
          </w:tcPr>
          <w:p w14:paraId="2F3087C9">
            <w:pPr>
              <w:widowControl/>
              <w:jc w:val="left"/>
              <w:rPr>
                <w:rFonts w:asciiTheme="minorEastAsia" w:hAnsiTheme="minorEastAsia" w:eastAsiaTheme="minorEastAsia" w:cstheme="minorEastAsia"/>
                <w:kern w:val="0"/>
                <w:sz w:val="24"/>
              </w:rPr>
            </w:pPr>
            <w:r>
              <w:rPr>
                <w:rFonts w:hint="eastAsia" w:ascii="宋体" w:hAnsi="宋体" w:cs="宋体"/>
                <w:sz w:val="24"/>
              </w:rPr>
              <w:t>医疗舱分隔墙、左右饰板、集成内顶及全部柜体均采用ABS材料一体成型，表面为细磨砂肌理，不</w:t>
            </w:r>
            <w:r>
              <w:rPr>
                <w:rFonts w:hint="eastAsia" w:ascii="宋体" w:hAnsi="宋体" w:cs="宋体"/>
                <w:kern w:val="0"/>
                <w:sz w:val="24"/>
              </w:rPr>
              <w:t>反光，耐磨易清洗，产品密度高重量轻，整体抗冲击能力强，光洁、抗菌、可消毒、抗UV、抗氧化等特点。边角位全部成圆角，保护乘员安全。</w:t>
            </w:r>
          </w:p>
        </w:tc>
      </w:tr>
      <w:tr w14:paraId="2C81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14:paraId="33FB7F1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5A612827">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内饰材料防火性能</w:t>
            </w:r>
          </w:p>
        </w:tc>
        <w:tc>
          <w:tcPr>
            <w:tcW w:w="6180" w:type="dxa"/>
            <w:vAlign w:val="center"/>
          </w:tcPr>
          <w:p w14:paraId="39E25D7A">
            <w:pPr>
              <w:widowControl/>
              <w:jc w:val="left"/>
              <w:rPr>
                <w:rFonts w:ascii="宋体" w:hAnsi="宋体" w:cs="宋体"/>
                <w:sz w:val="24"/>
              </w:rPr>
            </w:pPr>
            <w:r>
              <w:rPr>
                <w:rFonts w:hint="eastAsia" w:ascii="宋体" w:hAnsi="宋体" w:cs="宋体"/>
                <w:sz w:val="24"/>
              </w:rPr>
              <w:t>内饰ABS材料符合GB8410－2006《汽车内饰材料的燃烧特性》的要求。内饰材料ABS复合耐寒阻燃板的燃烧速度应不大于100mm/min，暴露在火焰中15S，熄灭火源材料仍未燃烧。</w:t>
            </w:r>
          </w:p>
          <w:p w14:paraId="7CD1B53D">
            <w:pPr>
              <w:widowControl/>
              <w:jc w:val="left"/>
              <w:rPr>
                <w:rFonts w:asciiTheme="minorEastAsia" w:hAnsiTheme="minorEastAsia" w:eastAsiaTheme="minorEastAsia" w:cstheme="minorEastAsia"/>
                <w:sz w:val="24"/>
              </w:rPr>
            </w:pPr>
            <w:r>
              <w:rPr>
                <w:rFonts w:hint="eastAsia" w:ascii="宋体" w:hAnsi="宋体" w:cs="宋体"/>
                <w:b/>
                <w:bCs/>
                <w:sz w:val="24"/>
              </w:rPr>
              <w:t>需提供第三方检测机构出具的带有CMA或CNAS标识合格的检验检测报告（检验报告的委托单位需为投标人或制造商），要求内容能体现满足上述参数要求，同时提供在全国认证认可信息公共服务平台（认e云）（http://cx.cnca.cn/）检测报告编号查询截图，原件备查。</w:t>
            </w:r>
          </w:p>
        </w:tc>
      </w:tr>
      <w:tr w14:paraId="18BC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14:paraId="40DDF66F">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110A1466">
            <w:pPr>
              <w:widowControl/>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内饰材料环保性能</w:t>
            </w:r>
          </w:p>
        </w:tc>
        <w:tc>
          <w:tcPr>
            <w:tcW w:w="6180" w:type="dxa"/>
            <w:vAlign w:val="center"/>
          </w:tcPr>
          <w:p w14:paraId="50FF5FEF">
            <w:pPr>
              <w:widowControl/>
              <w:jc w:val="left"/>
              <w:rPr>
                <w:rFonts w:ascii="宋体" w:hAnsi="宋体" w:cs="宋体"/>
                <w:sz w:val="24"/>
              </w:rPr>
            </w:pPr>
            <w:r>
              <w:rPr>
                <w:rFonts w:hint="eastAsia" w:ascii="宋体" w:hAnsi="宋体" w:cs="宋体"/>
                <w:sz w:val="24"/>
              </w:rPr>
              <w:t>内饰ABS材料依据GB/T30512-2014《汽车禁用物质要求》要求未检测出镉（Cd）、铅（Pb）、六价铬（Cr6+）、汞（Hg）、多溴联苯（PBBs）、多溴联苯醚（PBDEs）。</w:t>
            </w:r>
          </w:p>
          <w:p w14:paraId="0731DAB4">
            <w:pPr>
              <w:pStyle w:val="2"/>
            </w:pPr>
            <w:r>
              <w:rPr>
                <w:rFonts w:hint="eastAsia" w:ascii="宋体" w:hAnsi="宋体" w:cs="宋体"/>
                <w:b/>
                <w:bCs/>
              </w:rPr>
              <w:t>需提供第三方检测机构出具的带有CMA或CNAS标识合格的检验检测报告，要求内容能体现满足上述参数要求，原件备查。</w:t>
            </w:r>
          </w:p>
        </w:tc>
      </w:tr>
      <w:tr w14:paraId="2BF1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14:paraId="6AD2B589">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7777243">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吊柜</w:t>
            </w:r>
          </w:p>
        </w:tc>
        <w:tc>
          <w:tcPr>
            <w:tcW w:w="6180" w:type="dxa"/>
            <w:vAlign w:val="center"/>
          </w:tcPr>
          <w:p w14:paraId="6C4CAB18">
            <w:pPr>
              <w:widowControl/>
              <w:jc w:val="left"/>
            </w:pPr>
            <w:r>
              <w:rPr>
                <w:rFonts w:hint="eastAsia" w:asciiTheme="minorEastAsia" w:hAnsiTheme="minorEastAsia" w:eastAsiaTheme="minorEastAsia" w:cstheme="minorEastAsia"/>
                <w:sz w:val="24"/>
              </w:rPr>
              <w:t xml:space="preserve">医疗舱上方左安装1组吊顶柜,设置不少于4个独立储物格。吊柜柜门要求采用半透明或透明材料，方便医护人员看清物品放置状态；吊柜要求半弧形设计，减少或避免撞击伤害，同时容积更大；为保证吊柜坚固及耐用性，吊柜柜体及柜门要求为整体注塑成型；为方便及快速拿取医疗用品，要求柜门合页采用任意停设计形式，不可使用液压撑杆。 </w:t>
            </w:r>
          </w:p>
        </w:tc>
      </w:tr>
      <w:tr w14:paraId="0035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1094" w:type="dxa"/>
            <w:vAlign w:val="center"/>
          </w:tcPr>
          <w:p w14:paraId="1FAD540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E7D796E">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吊柜材料及工艺</w:t>
            </w:r>
          </w:p>
        </w:tc>
        <w:tc>
          <w:tcPr>
            <w:tcW w:w="6180" w:type="dxa"/>
            <w:vAlign w:val="center"/>
          </w:tcPr>
          <w:p w14:paraId="7D4882F5">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吊柜柜体为ABS材料注塑成型，达到GB/T14486-2008《塑料模塑尺寸公差》MT2的技术标准，不得采用胶水粘接等拼接工艺，避免车辆运行中发生离层或产生异响，为方便放置大件物品，每个储物格尺寸不少于600×310×340（长×宽×高）。</w:t>
            </w:r>
          </w:p>
          <w:p w14:paraId="52B2DCDE">
            <w:pPr>
              <w:pStyle w:val="2"/>
            </w:pPr>
            <w:r>
              <w:rPr>
                <w:rFonts w:hint="eastAsia" w:ascii="宋体" w:hAnsi="宋体" w:cs="宋体"/>
                <w:b/>
                <w:bCs/>
              </w:rPr>
              <w:t>需提供第三方检测机构出具的带有CMA或CNAS标识合格的检验检测报告，要求内容能体现满足上述参数要求，原件备查。</w:t>
            </w:r>
          </w:p>
        </w:tc>
      </w:tr>
      <w:tr w14:paraId="31BC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C277EE6">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1F426A2">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医疗组合柜</w:t>
            </w:r>
          </w:p>
        </w:tc>
        <w:tc>
          <w:tcPr>
            <w:tcW w:w="6180" w:type="dxa"/>
            <w:vAlign w:val="center"/>
          </w:tcPr>
          <w:p w14:paraId="55625EC6">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车辆安装一组医疗柜，柜体要求能灵活组合变换，便于后期维修更换，柜体能单独作为一个单元柜，尺寸不少于480×300×620（长×宽×高）方便放置较大物品。同时也可以随时更换成三个自锁注塑抽屉，方便分类储物</w:t>
            </w:r>
            <w:r>
              <w:rPr>
                <w:rFonts w:hint="eastAsia" w:asciiTheme="minorEastAsia" w:hAnsiTheme="minorEastAsia" w:eastAsiaTheme="minorEastAsia" w:cstheme="minorEastAsia"/>
                <w:b/>
                <w:bCs/>
                <w:kern w:val="0"/>
                <w:sz w:val="24"/>
              </w:rPr>
              <w:t>（提供实物图片）</w:t>
            </w:r>
            <w:r>
              <w:rPr>
                <w:rFonts w:hint="eastAsia" w:asciiTheme="minorEastAsia" w:hAnsiTheme="minorEastAsia" w:eastAsiaTheme="minorEastAsia" w:cstheme="minorEastAsia"/>
                <w:kern w:val="0"/>
                <w:sz w:val="24"/>
              </w:rPr>
              <w:t>。</w:t>
            </w:r>
          </w:p>
          <w:p w14:paraId="2AAC6DA6">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（2）为保证柜体坚固及耐用性，医疗柜柜体为整体ABS材料注塑成型，达到GB/T14486-2008《塑料模塑尺寸公差》MT2的技术标准，不得采用胶水粘接等拼接工艺，避免车辆运行中发生离层或产生异响。</w:t>
            </w:r>
          </w:p>
          <w:p w14:paraId="7758661F">
            <w:pPr>
              <w:widowControl/>
              <w:jc w:val="left"/>
              <w:rPr>
                <w:rFonts w:asciiTheme="minorEastAsia" w:hAnsiTheme="minorEastAsia" w:eastAsiaTheme="minorEastAsia" w:cstheme="minorEastAsia"/>
                <w:kern w:val="0"/>
                <w:sz w:val="24"/>
              </w:rPr>
            </w:pPr>
            <w:r>
              <w:rPr>
                <w:rFonts w:hint="eastAsia" w:ascii="宋体" w:hAnsi="宋体" w:cs="宋体"/>
                <w:b/>
                <w:bCs/>
                <w:sz w:val="24"/>
              </w:rPr>
              <w:t>需提供第三方检测机构出具的带有CMA或CNAS标识合格的检验检测报告，要求内容能体现满足上述参数要求，原件备查。</w:t>
            </w:r>
          </w:p>
        </w:tc>
      </w:tr>
      <w:tr w14:paraId="23F7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64A9718">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CE145D0">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医生椅</w:t>
            </w:r>
          </w:p>
        </w:tc>
        <w:tc>
          <w:tcPr>
            <w:tcW w:w="6180" w:type="dxa"/>
            <w:vAlign w:val="center"/>
          </w:tcPr>
          <w:p w14:paraId="59DD66B2">
            <w:pPr>
              <w:widowControl/>
              <w:jc w:val="left"/>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医疗舱前部安装1套单人座椅，带舒适靠背，座椅下方为储物格，可放置急救箱。</w:t>
            </w:r>
          </w:p>
        </w:tc>
      </w:tr>
      <w:tr w14:paraId="6C27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7AC5E35">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8EB1120">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护士椅</w:t>
            </w:r>
          </w:p>
        </w:tc>
        <w:tc>
          <w:tcPr>
            <w:tcW w:w="6180" w:type="dxa"/>
            <w:vAlign w:val="center"/>
          </w:tcPr>
          <w:p w14:paraId="09301E3C">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医疗舱右侧靠中门处安装1套单人朝前座椅，座垫可翻折，座椅靠背可调，配有扶手及3点式安全带。</w:t>
            </w:r>
          </w:p>
        </w:tc>
      </w:tr>
      <w:tr w14:paraId="1B44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40C0065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D264D28">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柜式椅</w:t>
            </w:r>
          </w:p>
        </w:tc>
        <w:tc>
          <w:tcPr>
            <w:tcW w:w="6180" w:type="dxa"/>
            <w:vAlign w:val="center"/>
          </w:tcPr>
          <w:p w14:paraId="62C8712C">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医疗舱右侧安装1套2人长排柜式座椅，带舒适背、软座垫及配2套3点式安全带，座垫下方设有储物柜。</w:t>
            </w:r>
          </w:p>
        </w:tc>
      </w:tr>
      <w:tr w14:paraId="644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9C2C09C">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89EDA84">
            <w:pPr>
              <w:widowControl/>
              <w:jc w:val="center"/>
              <w:rPr>
                <w:rFonts w:asciiTheme="minorEastAsia" w:hAnsiTheme="minorEastAsia" w:eastAsiaTheme="minorEastAsia" w:cstheme="minorEastAsia"/>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kern w:val="0"/>
                <w:sz w:val="24"/>
              </w:rPr>
              <w:t>座椅材料</w:t>
            </w:r>
          </w:p>
        </w:tc>
        <w:tc>
          <w:tcPr>
            <w:tcW w:w="6180" w:type="dxa"/>
            <w:vAlign w:val="center"/>
          </w:tcPr>
          <w:p w14:paraId="5EE6CB0D">
            <w:pPr>
              <w:widowControl/>
              <w:jc w:val="left"/>
              <w:rPr>
                <w:rFonts w:ascii="宋体" w:hAnsi="宋体" w:cs="宋体"/>
                <w:sz w:val="24"/>
              </w:rPr>
            </w:pPr>
            <w:r>
              <w:rPr>
                <w:rFonts w:hint="eastAsia" w:ascii="宋体" w:hAnsi="宋体" w:cs="宋体"/>
                <w:sz w:val="24"/>
              </w:rPr>
              <w:t>医疗舱所有座椅采用超纤革包裹，撕裂强度、拉伸强度高，耐折性好，耐寒性佳，耐霉变性，表面易清洗，组织结构和天然皮革相似等特点。符合GB8410－2006《汽车内饰材料的燃烧特性》的要求。座椅包裹材料超纤革的燃烧速度应不大于100mm/min，暴露在火焰中15S，熄灭火源材料仍未燃烧；</w:t>
            </w:r>
          </w:p>
          <w:p w14:paraId="2B6ED4CF">
            <w:pPr>
              <w:widowControl/>
              <w:jc w:val="left"/>
              <w:rPr>
                <w:rFonts w:asciiTheme="minorEastAsia" w:hAnsiTheme="minorEastAsia" w:eastAsiaTheme="minorEastAsia" w:cstheme="minorEastAsia"/>
                <w:sz w:val="24"/>
              </w:rPr>
            </w:pPr>
            <w:r>
              <w:rPr>
                <w:rFonts w:hint="eastAsia" w:ascii="宋体" w:hAnsi="宋体" w:cs="宋体"/>
                <w:b/>
                <w:bCs/>
                <w:sz w:val="24"/>
              </w:rPr>
              <w:t>需提供第三方检测机构出具的带有CMA或CNAS标识合格的检验检测报告，要求内容能体现满足上述参数要求，原件备查。</w:t>
            </w:r>
          </w:p>
        </w:tc>
      </w:tr>
      <w:tr w14:paraId="065D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2FEE51F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FFF37FE">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氧气柜</w:t>
            </w:r>
          </w:p>
        </w:tc>
        <w:tc>
          <w:tcPr>
            <w:tcW w:w="6180" w:type="dxa"/>
            <w:vAlign w:val="center"/>
          </w:tcPr>
          <w:p w14:paraId="27AD1647">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医疗舱左侧车尾处安装氧气柜，并预埋金属管路，采用插拔式柜门，柜门不完全密封，留有操作口方便观察氧气表压力及开关气阀。</w:t>
            </w:r>
          </w:p>
        </w:tc>
      </w:tr>
      <w:tr w14:paraId="068E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6F3C0FD3">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06BD6667">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氧气瓶</w:t>
            </w:r>
          </w:p>
        </w:tc>
        <w:tc>
          <w:tcPr>
            <w:tcW w:w="6180" w:type="dxa"/>
            <w:vAlign w:val="center"/>
          </w:tcPr>
          <w:p w14:paraId="3C8CF2B9">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rPr>
              <w:t>0升氧气瓶(配减压阀）2个，并预埋精密无缝GB卫生氧气管路，</w:t>
            </w:r>
            <w:r>
              <w:rPr>
                <w:rFonts w:hint="eastAsia" w:asciiTheme="minorEastAsia" w:hAnsiTheme="minorEastAsia" w:eastAsiaTheme="minorEastAsia" w:cstheme="minorEastAsia"/>
                <w:sz w:val="24"/>
              </w:rPr>
              <w:t>采用</w:t>
            </w:r>
            <w:r>
              <w:rPr>
                <w:rFonts w:hint="eastAsia" w:asciiTheme="minorEastAsia" w:hAnsiTheme="minorEastAsia" w:eastAsiaTheme="minorEastAsia" w:cstheme="minorEastAsia"/>
                <w:kern w:val="0"/>
                <w:sz w:val="24"/>
              </w:rPr>
              <w:t>316不锈钢耐压管，屈服强度≥309Mpa，拉伸强度≥621Mpa。不锈钢管在模拟压力250bar水压环境中，保压一小时,管道无泄露，无变形。</w:t>
            </w:r>
            <w:r>
              <w:rPr>
                <w:rFonts w:hint="eastAsia" w:ascii="宋体" w:hAnsi="宋体" w:cs="宋体"/>
                <w:b/>
                <w:bCs/>
                <w:sz w:val="24"/>
              </w:rPr>
              <w:t>需提供第三方检测机构出具的检验检测报告</w:t>
            </w:r>
          </w:p>
        </w:tc>
      </w:tr>
      <w:tr w14:paraId="2AD0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14:paraId="2296B791">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606965FA">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w:t>
            </w:r>
            <w:r>
              <w:rPr>
                <w:rFonts w:hint="eastAsia" w:ascii="宋体" w:hAnsi="宋体" w:cs="宋体"/>
                <w:b/>
                <w:bCs/>
                <w:sz w:val="24"/>
              </w:rPr>
              <w:t>氧气汇流排</w:t>
            </w:r>
          </w:p>
        </w:tc>
        <w:tc>
          <w:tcPr>
            <w:tcW w:w="6180" w:type="dxa"/>
            <w:vAlign w:val="center"/>
          </w:tcPr>
          <w:p w14:paraId="4820362A">
            <w:pPr>
              <w:widowControl/>
              <w:spacing w:before="93" w:beforeLines="30" w:after="93" w:afterLines="30"/>
              <w:jc w:val="left"/>
              <w:rPr>
                <w:rFonts w:ascii="宋体" w:hAnsi="宋体" w:cs="宋体"/>
                <w:b/>
                <w:bCs/>
                <w:sz w:val="24"/>
              </w:rPr>
            </w:pPr>
            <w:r>
              <w:rPr>
                <w:rFonts w:hint="eastAsia" w:ascii="宋体" w:hAnsi="宋体" w:cs="宋体"/>
                <w:b/>
                <w:bCs/>
                <w:sz w:val="24"/>
              </w:rPr>
              <w:t>救护车多功能氧气汇流排：采用耐高压316不锈钢金属管连接控制面板，控制面板位于医疗舱的左前方，靠近医生的位置，它装有：吸氧用终端(1个)连接湿化器(1个)，呼吸机用的终端(1个)连接呼吸机专用接头(1个)。</w:t>
            </w:r>
          </w:p>
          <w:p w14:paraId="16CAC68C">
            <w:pPr>
              <w:widowControl/>
              <w:spacing w:before="93" w:beforeLines="30" w:after="93" w:afterLines="30"/>
              <w:jc w:val="left"/>
              <w:rPr>
                <w:rFonts w:ascii="宋体" w:hAnsi="宋体" w:cs="宋体"/>
                <w:b/>
                <w:bCs/>
                <w:sz w:val="24"/>
              </w:rPr>
            </w:pPr>
            <w:r>
              <w:rPr>
                <w:rFonts w:hint="eastAsia" w:ascii="宋体" w:hAnsi="宋体" w:cs="宋体"/>
                <w:b/>
                <w:bCs/>
                <w:sz w:val="24"/>
              </w:rPr>
              <w:t>两个氧气压力表，一个切换开关：方便查看两个压力表的情况，使用切换开关可对两个氧气瓶（组）进行切换。</w:t>
            </w:r>
          </w:p>
          <w:p w14:paraId="4A7E9889">
            <w:pPr>
              <w:widowControl/>
              <w:jc w:val="left"/>
              <w:rPr>
                <w:rFonts w:asciiTheme="minorEastAsia" w:hAnsiTheme="minorEastAsia" w:cstheme="minorEastAsia"/>
                <w:kern w:val="0"/>
                <w:sz w:val="24"/>
              </w:rPr>
            </w:pPr>
            <w:r>
              <w:rPr>
                <w:rFonts w:hint="eastAsia" w:ascii="宋体" w:hAnsi="宋体" w:cs="宋体"/>
                <w:b/>
                <w:bCs/>
                <w:sz w:val="24"/>
              </w:rPr>
              <w:t>两个减压阀：一个为吸氧用，一个为呼吸机用。</w:t>
            </w:r>
            <w:r>
              <w:rPr>
                <w:rFonts w:hint="eastAsia" w:asciiTheme="minorEastAsia" w:hAnsiTheme="minorEastAsia" w:eastAsiaTheme="minorEastAsia" w:cstheme="minorEastAsia"/>
                <w:color w:val="000000"/>
                <w:kern w:val="0"/>
                <w:sz w:val="24"/>
              </w:rPr>
              <w:t>配备不少于吸氧用终端(1个)，连接湿化器(1个)，呼吸机用的终端(1个)连接呼吸机专用接头(1个)。</w:t>
            </w:r>
            <w:r>
              <w:rPr>
                <w:rFonts w:hint="eastAsia" w:ascii="宋体" w:hAnsi="宋体" w:cs="宋体"/>
                <w:color w:val="000000"/>
                <w:kern w:val="0"/>
                <w:sz w:val="24"/>
              </w:rPr>
              <w:t>（投标人需同时提供：①本部位的实物相片，②原理图纸说明。）</w:t>
            </w:r>
          </w:p>
        </w:tc>
      </w:tr>
      <w:tr w14:paraId="40EE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7829AC0">
            <w:pPr>
              <w:widowControl/>
              <w:numPr>
                <w:ilvl w:val="0"/>
                <w:numId w:val="1"/>
              </w:numPr>
              <w:jc w:val="center"/>
              <w:rPr>
                <w:rFonts w:asciiTheme="minorEastAsia" w:hAnsiTheme="minorEastAsia" w:eastAsiaTheme="minorEastAsia" w:cstheme="minorEastAsia"/>
                <w:color w:val="000000"/>
                <w:kern w:val="0"/>
                <w:sz w:val="24"/>
              </w:rPr>
            </w:pPr>
          </w:p>
        </w:tc>
        <w:tc>
          <w:tcPr>
            <w:tcW w:w="1751" w:type="dxa"/>
            <w:vAlign w:val="center"/>
          </w:tcPr>
          <w:p w14:paraId="145DE652">
            <w:pPr>
              <w:widowControl/>
              <w:jc w:val="center"/>
              <w:rPr>
                <w:rFonts w:asciiTheme="minorEastAsia" w:hAnsiTheme="minorEastAsia" w:eastAsiaTheme="minorEastAsia" w:cstheme="minorEastAsia"/>
                <w:color w:val="000000"/>
                <w:kern w:val="0"/>
                <w:sz w:val="24"/>
              </w:rPr>
            </w:pPr>
            <w:r>
              <w:rPr>
                <w:rFonts w:hint="eastAsia" w:cs="宋体" w:asciiTheme="majorEastAsia" w:hAnsiTheme="majorEastAsia" w:eastAsiaTheme="majorEastAsia"/>
                <w:kern w:val="0"/>
                <w:sz w:val="24"/>
              </w:rPr>
              <w:t>▲</w:t>
            </w:r>
            <w:r>
              <w:rPr>
                <w:rFonts w:hint="eastAsia" w:asciiTheme="minorEastAsia" w:hAnsiTheme="minorEastAsia" w:eastAsiaTheme="minorEastAsia" w:cstheme="minorEastAsia"/>
                <w:color w:val="000000"/>
                <w:kern w:val="0"/>
                <w:sz w:val="24"/>
              </w:rPr>
              <w:t>地板革</w:t>
            </w:r>
          </w:p>
        </w:tc>
        <w:tc>
          <w:tcPr>
            <w:tcW w:w="6180" w:type="dxa"/>
            <w:vAlign w:val="center"/>
          </w:tcPr>
          <w:p w14:paraId="0FCD941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（1）地板采用耐酸、碱及防火、防滑、防静电地板革。 </w:t>
            </w:r>
          </w:p>
          <w:p w14:paraId="51D13B5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地板革的燃烧特性应符合GB8410－2006《汽车内饰材料的燃烧特性》要求。检验报告中需体现内饰材料ABS材料的燃烧速度应不大于100mm/min，暴露在火焰中15S，熄灭火源材料仍未燃烧，提供第三方检测机构出具的带有CMA或CNAS标识合格的检验检测报告复印件（或扫描件）。第三方检测机构须为依法成立且具备相应的检测资质，投标人在投标时提供第三方检测机构的证明材料，要求内容能体现满足上述参数要求。</w:t>
            </w:r>
          </w:p>
          <w:p w14:paraId="7029ACE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（3）地板革依据GB/T30512-2014《汽车禁用物质要求》要求未检测出镉（Cd）、铅（Pb）、六价铬（Cr6+）、汞（Hg）、多溴联苯（PBBs）、多溴联苯醚（PBDEs）。</w:t>
            </w:r>
          </w:p>
          <w:p w14:paraId="437ED664">
            <w:pPr>
              <w:pStyle w:val="2"/>
            </w:pPr>
            <w:r>
              <w:rPr>
                <w:rFonts w:hint="eastAsia" w:ascii="宋体" w:hAnsi="宋体" w:cs="宋体"/>
                <w:b/>
                <w:bCs/>
              </w:rPr>
              <w:t>需提供第三方检测机构出具的带有CMA或CNAS标识合格的检验检测报告，要求内容能体现满足上述参数要求，原件备查。</w:t>
            </w:r>
          </w:p>
        </w:tc>
      </w:tr>
      <w:tr w14:paraId="0709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0803F695">
            <w:pPr>
              <w:widowControl/>
              <w:numPr>
                <w:ilvl w:val="0"/>
                <w:numId w:val="1"/>
              </w:numPr>
              <w:jc w:val="center"/>
              <w:rPr>
                <w:rFonts w:asciiTheme="minorEastAsia" w:hAnsiTheme="minorEastAsia" w:eastAsiaTheme="minorEastAsia" w:cstheme="minorEastAsia"/>
                <w:color w:val="000000"/>
                <w:kern w:val="0"/>
                <w:sz w:val="24"/>
              </w:rPr>
            </w:pPr>
          </w:p>
        </w:tc>
        <w:tc>
          <w:tcPr>
            <w:tcW w:w="1751" w:type="dxa"/>
            <w:vAlign w:val="center"/>
          </w:tcPr>
          <w:p w14:paraId="388336D4">
            <w:pPr>
              <w:widowControl/>
              <w:jc w:val="center"/>
              <w:rPr>
                <w:rFonts w:asciiTheme="minorEastAsia" w:hAnsiTheme="minorEastAsia" w:eastAsiaTheme="minorEastAsia" w:cstheme="minorEastAsia"/>
                <w:color w:val="000000"/>
                <w:kern w:val="0"/>
                <w:sz w:val="24"/>
              </w:rPr>
            </w:pPr>
            <w:r>
              <w:rPr>
                <w:rFonts w:hint="eastAsia" w:cs="宋体" w:asciiTheme="majorEastAsia" w:hAnsiTheme="majorEastAsia" w:eastAsiaTheme="majorEastAsia"/>
                <w:kern w:val="0"/>
                <w:sz w:val="24"/>
              </w:rPr>
              <w:t>灭火器</w:t>
            </w:r>
          </w:p>
        </w:tc>
        <w:tc>
          <w:tcPr>
            <w:tcW w:w="6180" w:type="dxa"/>
            <w:vAlign w:val="center"/>
          </w:tcPr>
          <w:p w14:paraId="1835C4B7">
            <w:pPr>
              <w:widowControl/>
              <w:jc w:val="left"/>
              <w:rPr>
                <w:rFonts w:asciiTheme="minorEastAsia" w:hAnsiTheme="minorEastAsia" w:eastAsiaTheme="minorEastAsia" w:cstheme="minorEastAsia"/>
                <w:color w:val="000000"/>
                <w:kern w:val="0"/>
                <w:sz w:val="24"/>
              </w:rPr>
            </w:pPr>
            <w:r>
              <w:rPr>
                <w:rFonts w:hint="eastAsia" w:ascii="宋体" w:hAnsi="宋体" w:cs="宋体"/>
                <w:sz w:val="24"/>
              </w:rPr>
              <w:t>配备不少于1个</w:t>
            </w:r>
            <w:r>
              <w:rPr>
                <w:rFonts w:hint="eastAsia" w:cs="宋体" w:asciiTheme="majorEastAsia" w:hAnsiTheme="majorEastAsia" w:eastAsiaTheme="majorEastAsia"/>
                <w:kern w:val="0"/>
                <w:sz w:val="24"/>
              </w:rPr>
              <w:t>2KG灭火器</w:t>
            </w:r>
          </w:p>
        </w:tc>
      </w:tr>
      <w:tr w14:paraId="474B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5BB3E25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30FD3F45">
            <w:pPr>
              <w:widowControl/>
              <w:jc w:val="center"/>
              <w:rPr>
                <w:rFonts w:asciiTheme="minorEastAsia" w:hAnsiTheme="minorEastAsia" w:eastAsiaTheme="minorEastAsia" w:cstheme="minorEastAsia"/>
                <w:kern w:val="0"/>
                <w:sz w:val="24"/>
              </w:rPr>
            </w:pPr>
            <w:r>
              <w:rPr>
                <w:rFonts w:hint="eastAsia" w:ascii="宋体" w:hAnsi="宋体" w:cs="宋体"/>
                <w:sz w:val="24"/>
              </w:rPr>
              <w:t>担架平台</w:t>
            </w:r>
          </w:p>
        </w:tc>
        <w:tc>
          <w:tcPr>
            <w:tcW w:w="6180" w:type="dxa"/>
            <w:vAlign w:val="center"/>
          </w:tcPr>
          <w:p w14:paraId="49D88806">
            <w:pPr>
              <w:rPr>
                <w:rFonts w:asciiTheme="minorEastAsia" w:hAnsiTheme="minorEastAsia" w:cstheme="minorEastAsia"/>
                <w:kern w:val="0"/>
                <w:sz w:val="24"/>
              </w:rPr>
            </w:pPr>
            <w:r>
              <w:rPr>
                <w:rFonts w:hint="eastAsia" w:ascii="宋体" w:hAnsi="宋体" w:cs="宋体"/>
                <w:sz w:val="24"/>
              </w:rPr>
              <w:t>安装1套专用担架平台</w:t>
            </w:r>
          </w:p>
        </w:tc>
      </w:tr>
      <w:tr w14:paraId="6DFA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251202DE">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2FF229AE">
            <w:pPr>
              <w:widowControl/>
              <w:jc w:val="center"/>
              <w:rPr>
                <w:rFonts w:asciiTheme="minorEastAsia" w:hAnsiTheme="minorEastAsia" w:eastAsiaTheme="minorEastAsia" w:cstheme="minorEastAsia"/>
                <w:kern w:val="0"/>
                <w:sz w:val="24"/>
              </w:rPr>
            </w:pPr>
            <w:r>
              <w:rPr>
                <w:rFonts w:hint="eastAsia" w:ascii="宋体" w:hAnsi="宋体" w:cs="宋体"/>
                <w:sz w:val="24"/>
              </w:rPr>
              <w:t>上车担架</w:t>
            </w:r>
          </w:p>
        </w:tc>
        <w:tc>
          <w:tcPr>
            <w:tcW w:w="6180" w:type="dxa"/>
            <w:vAlign w:val="center"/>
          </w:tcPr>
          <w:p w14:paraId="0DADDB5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配备1套自动上车担架</w:t>
            </w:r>
          </w:p>
          <w:p w14:paraId="2B45D9D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担架由高强度的铝合金制成</w:t>
            </w:r>
          </w:p>
          <w:p w14:paraId="205164C3">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2.不需要控制任何把手就能自动上下车</w:t>
            </w:r>
          </w:p>
          <w:p w14:paraId="2595F4E8">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3.PVC海绵床垫，靠背可调节</w:t>
            </w:r>
          </w:p>
          <w:p w14:paraId="5BEB3FBF">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4.轮子尺寸：≥∅125mm</w:t>
            </w:r>
          </w:p>
          <w:p w14:paraId="1419433E">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5.高位尺寸：≥195*54*87mm</w:t>
            </w:r>
          </w:p>
          <w:p w14:paraId="33F447E2">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6.低位尺寸:≥195*54*27mm</w:t>
            </w:r>
          </w:p>
          <w:p w14:paraId="438A29C2">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7.承重：≥250kg</w:t>
            </w:r>
          </w:p>
          <w:p w14:paraId="1114B7B7">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8.自重：≤42kg</w:t>
            </w:r>
          </w:p>
        </w:tc>
      </w:tr>
      <w:tr w14:paraId="54E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C5D1DEC">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461F5F53">
            <w:pPr>
              <w:widowControl/>
              <w:jc w:val="center"/>
              <w:rPr>
                <w:rFonts w:asciiTheme="minorEastAsia" w:hAnsiTheme="minorEastAsia" w:eastAsiaTheme="minorEastAsia" w:cstheme="minorEastAsia"/>
                <w:kern w:val="0"/>
                <w:sz w:val="24"/>
              </w:rPr>
            </w:pPr>
            <w:r>
              <w:rPr>
                <w:rFonts w:hint="eastAsia" w:ascii="宋体" w:hAnsi="宋体" w:cs="宋体"/>
                <w:sz w:val="24"/>
              </w:rPr>
              <w:t>楼梯专用椅</w:t>
            </w:r>
          </w:p>
        </w:tc>
        <w:tc>
          <w:tcPr>
            <w:tcW w:w="6180" w:type="dxa"/>
            <w:vAlign w:val="center"/>
          </w:tcPr>
          <w:p w14:paraId="48B9836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配备1套楼梯专用椅</w:t>
            </w:r>
          </w:p>
          <w:p w14:paraId="7C5988F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技术特点要求：</w:t>
            </w:r>
          </w:p>
          <w:p w14:paraId="0FBEC65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担架由高强度的铝合金制成，PVC座垫；</w:t>
            </w:r>
          </w:p>
          <w:p w14:paraId="08BB505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自重轻、承载大、操作简单可折叠，便于携带；</w:t>
            </w:r>
          </w:p>
          <w:p w14:paraId="71004F1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担架设有四个轮子；</w:t>
            </w:r>
          </w:p>
          <w:p w14:paraId="181BF37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担架前面下端设有的两支可伸缩长手柄用于在狭窄的</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通道里抬病人；</w:t>
            </w:r>
          </w:p>
          <w:p w14:paraId="2C3C1CB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展开尺寸(L×W×H)cm：≥67×52×91</w:t>
            </w:r>
          </w:p>
          <w:p w14:paraId="4A59877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折叠尺寸(L×W×H)cm：≤91×52×12</w:t>
            </w:r>
          </w:p>
          <w:p w14:paraId="4F50631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自重：≤8kg</w:t>
            </w:r>
          </w:p>
          <w:p w14:paraId="04700EA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承重：160kg</w:t>
            </w:r>
          </w:p>
        </w:tc>
      </w:tr>
      <w:tr w14:paraId="32C9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4" w:type="dxa"/>
            <w:vAlign w:val="center"/>
          </w:tcPr>
          <w:p w14:paraId="172B54B2">
            <w:pPr>
              <w:widowControl/>
              <w:numPr>
                <w:ilvl w:val="0"/>
                <w:numId w:val="1"/>
              </w:numPr>
              <w:jc w:val="center"/>
              <w:rPr>
                <w:rFonts w:asciiTheme="minorEastAsia" w:hAnsiTheme="minorEastAsia" w:eastAsiaTheme="minorEastAsia" w:cstheme="minorEastAsia"/>
                <w:kern w:val="0"/>
                <w:sz w:val="24"/>
              </w:rPr>
            </w:pPr>
          </w:p>
        </w:tc>
        <w:tc>
          <w:tcPr>
            <w:tcW w:w="1751" w:type="dxa"/>
            <w:vAlign w:val="center"/>
          </w:tcPr>
          <w:p w14:paraId="76F6E3F4">
            <w:pPr>
              <w:widowControl/>
              <w:jc w:val="center"/>
              <w:rPr>
                <w:rFonts w:asciiTheme="minorEastAsia" w:hAnsiTheme="minorEastAsia" w:eastAsiaTheme="minorEastAsia" w:cstheme="minorEastAsia"/>
                <w:kern w:val="0"/>
                <w:sz w:val="24"/>
              </w:rPr>
            </w:pPr>
            <w:r>
              <w:rPr>
                <w:rFonts w:hint="eastAsia" w:ascii="宋体" w:hAnsi="宋体" w:cs="宋体"/>
                <w:sz w:val="24"/>
              </w:rPr>
              <w:t>铲式担架</w:t>
            </w:r>
          </w:p>
        </w:tc>
        <w:tc>
          <w:tcPr>
            <w:tcW w:w="6180" w:type="dxa"/>
            <w:vAlign w:val="center"/>
          </w:tcPr>
          <w:p w14:paraId="752C6495">
            <w:pPr>
              <w:jc w:val="left"/>
              <w:rPr>
                <w:rFonts w:ascii="宋体" w:hAnsi="宋体" w:cs="宋体"/>
                <w:sz w:val="24"/>
              </w:rPr>
            </w:pPr>
            <w:r>
              <w:rPr>
                <w:rFonts w:hint="eastAsia" w:ascii="宋体" w:hAnsi="宋体" w:cs="宋体"/>
                <w:sz w:val="24"/>
              </w:rPr>
              <w:t>配备1套铲式担架</w:t>
            </w:r>
          </w:p>
          <w:p w14:paraId="672947F8">
            <w:r>
              <w:rPr>
                <w:rFonts w:hint="eastAsia"/>
              </w:rPr>
              <w:t>1、担架由高强度的铝合金制成；</w:t>
            </w:r>
          </w:p>
          <w:p w14:paraId="3734BC7D">
            <w:r>
              <w:rPr>
                <w:rFonts w:hint="eastAsia"/>
              </w:rPr>
              <w:t>2、采用分离型刚性结构，转送骨折及重伤病员；</w:t>
            </w:r>
          </w:p>
          <w:p w14:paraId="6A67BFB8">
            <w:pPr>
              <w:ind w:left="210" w:hanging="210" w:hangingChars="100"/>
            </w:pPr>
            <w:r>
              <w:rPr>
                <w:rFonts w:hint="eastAsia"/>
              </w:rPr>
              <w:t>3、两端设有离合装置，可将担架分离成左右两部分，这款新的离合装置确保在使用过程中永不断裂或松开；</w:t>
            </w:r>
          </w:p>
          <w:p w14:paraId="0223A597">
            <w:r>
              <w:rPr>
                <w:rFonts w:hint="eastAsia"/>
              </w:rPr>
              <w:t>4、椭圆形的伸缩杆使担架更坚固，可根据病人的实际身高调节长度；</w:t>
            </w:r>
          </w:p>
          <w:p w14:paraId="0BA31950">
            <w:pPr>
              <w:ind w:left="210" w:hanging="210" w:hangingChars="100"/>
            </w:pPr>
            <w:r>
              <w:rPr>
                <w:rFonts w:hint="eastAsia"/>
              </w:rPr>
              <w:t>5、本担架可在原地固定病人，减少对病人的二次伤害；</w:t>
            </w:r>
          </w:p>
          <w:p w14:paraId="54C6E0B7">
            <w:r>
              <w:rPr>
                <w:rFonts w:hint="eastAsia"/>
              </w:rPr>
              <w:t>6、可于头部固定器搭配使用；</w:t>
            </w:r>
          </w:p>
          <w:p w14:paraId="570C0D32">
            <w:pPr>
              <w:rPr>
                <w:rFonts w:asciiTheme="minorEastAsia" w:hAnsiTheme="minorEastAsia" w:eastAsiaTheme="minorEastAsia" w:cstheme="minorEastAsia"/>
                <w:sz w:val="24"/>
              </w:rPr>
            </w:pPr>
            <w:r>
              <w:rPr>
                <w:rFonts w:hint="eastAsia"/>
              </w:rPr>
              <w:t>7、</w:t>
            </w:r>
            <w:r>
              <w:rPr>
                <w:rFonts w:hint="eastAsia" w:asciiTheme="minorEastAsia" w:hAnsiTheme="minorEastAsia" w:eastAsiaTheme="minorEastAsia" w:cstheme="minorEastAsia"/>
                <w:sz w:val="24"/>
              </w:rPr>
              <w:t>展开尺寸(L×W×H)cm：≥210×44×7</w:t>
            </w:r>
          </w:p>
          <w:p w14:paraId="580E28C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8、折叠尺寸(L×W×H)cm：≤120×44×8</w:t>
            </w:r>
          </w:p>
          <w:p w14:paraId="6102AD4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8、自重：≤9</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kg</w:t>
            </w:r>
          </w:p>
          <w:p w14:paraId="40CA296E">
            <w:pPr>
              <w:rPr>
                <w:rFonts w:ascii="宋体" w:hAnsi="宋体" w:cs="宋体"/>
                <w:sz w:val="24"/>
              </w:rPr>
            </w:pPr>
            <w:r>
              <w:rPr>
                <w:rFonts w:hint="eastAsia" w:asciiTheme="minorEastAsia" w:hAnsiTheme="minorEastAsia" w:eastAsiaTheme="minorEastAsia" w:cstheme="minorEastAsia"/>
                <w:sz w:val="24"/>
              </w:rPr>
              <w:t>9、承重：≥250kg</w:t>
            </w:r>
          </w:p>
        </w:tc>
      </w:tr>
    </w:tbl>
    <w:p w14:paraId="53E7A3A4">
      <w:pPr>
        <w:rPr>
          <w:rFonts w:hint="eastAsia" w:ascii="宋体" w:hAnsi="宋体"/>
          <w:b/>
          <w:sz w:val="24"/>
          <w:szCs w:val="24"/>
          <w:lang w:val="en-US" w:eastAsia="zh-CN"/>
        </w:rPr>
      </w:pPr>
    </w:p>
    <w:p w14:paraId="381AB070">
      <w:pPr>
        <w:rPr>
          <w:rFonts w:hint="eastAsia" w:ascii="宋体" w:hAnsi="宋体"/>
          <w:b w:val="0"/>
          <w:bCs/>
          <w:sz w:val="24"/>
          <w:szCs w:val="24"/>
          <w:lang w:val="en-US" w:eastAsia="zh-CN"/>
        </w:rPr>
      </w:pPr>
    </w:p>
    <w:p w14:paraId="109578DB">
      <w:pPr>
        <w:pStyle w:val="10"/>
        <w:numPr>
          <w:ilvl w:val="0"/>
          <w:numId w:val="4"/>
        </w:numPr>
        <w:ind w:firstLineChars="0"/>
        <w:jc w:val="left"/>
        <w:rPr>
          <w:rFonts w:ascii="宋体" w:hAnsi="宋体"/>
          <w:sz w:val="24"/>
          <w:szCs w:val="24"/>
        </w:rPr>
      </w:pPr>
      <w:r>
        <w:rPr>
          <w:rFonts w:hint="eastAsia" w:ascii="宋体" w:hAnsi="宋体"/>
          <w:sz w:val="24"/>
          <w:szCs w:val="24"/>
        </w:rPr>
        <w:t>质保期、售后服务：</w:t>
      </w:r>
    </w:p>
    <w:p w14:paraId="54629D7F">
      <w:pPr>
        <w:autoSpaceDE w:val="0"/>
        <w:autoSpaceDN w:val="0"/>
        <w:spacing w:line="360" w:lineRule="auto"/>
        <w:rPr>
          <w:rFonts w:ascii="宋体" w:hAnsi="宋体" w:eastAsia="宋体"/>
          <w:sz w:val="24"/>
          <w:szCs w:val="24"/>
        </w:rPr>
      </w:pPr>
      <w:r>
        <w:rPr>
          <w:rFonts w:hint="eastAsia" w:ascii="宋体" w:hAnsi="宋体" w:eastAsia="宋体"/>
          <w:sz w:val="24"/>
          <w:szCs w:val="24"/>
        </w:rPr>
        <w:t>1、底盘车辆提供不低于</w:t>
      </w:r>
      <w:r>
        <w:rPr>
          <w:rFonts w:hint="eastAsia" w:ascii="宋体" w:hAnsi="宋体"/>
          <w:sz w:val="24"/>
          <w:szCs w:val="24"/>
          <w:lang w:val="en-US" w:eastAsia="zh-CN"/>
        </w:rPr>
        <w:t>2</w:t>
      </w:r>
      <w:r>
        <w:rPr>
          <w:rFonts w:hint="eastAsia" w:ascii="宋体" w:hAnsi="宋体" w:eastAsia="宋体"/>
          <w:sz w:val="24"/>
          <w:szCs w:val="24"/>
        </w:rPr>
        <w:t>年</w:t>
      </w:r>
      <w:r>
        <w:rPr>
          <w:rFonts w:hint="eastAsia" w:ascii="宋体" w:hAnsi="宋体"/>
          <w:sz w:val="24"/>
          <w:szCs w:val="24"/>
          <w:lang w:val="en-US" w:eastAsia="zh-CN"/>
        </w:rPr>
        <w:t>或5万公里先到为准的</w:t>
      </w:r>
      <w:r>
        <w:rPr>
          <w:rFonts w:hint="eastAsia" w:ascii="宋体" w:hAnsi="宋体" w:eastAsia="宋体"/>
          <w:sz w:val="24"/>
          <w:szCs w:val="24"/>
        </w:rPr>
        <w:t>保修标准。</w:t>
      </w:r>
    </w:p>
    <w:p w14:paraId="649BDEA0">
      <w:pPr>
        <w:autoSpaceDE w:val="0"/>
        <w:autoSpaceDN w:val="0"/>
        <w:spacing w:line="360" w:lineRule="auto"/>
        <w:ind w:left="420" w:hanging="420" w:hangingChars="175"/>
        <w:rPr>
          <w:rFonts w:ascii="宋体" w:hAnsi="宋体" w:eastAsia="宋体"/>
          <w:sz w:val="24"/>
          <w:szCs w:val="24"/>
        </w:rPr>
      </w:pPr>
      <w:r>
        <w:rPr>
          <w:rFonts w:hint="eastAsia" w:ascii="宋体" w:hAnsi="宋体" w:eastAsia="宋体"/>
          <w:sz w:val="24"/>
          <w:szCs w:val="24"/>
        </w:rPr>
        <w:t>2、改装部分及车载担架提供不低于</w:t>
      </w:r>
      <w:r>
        <w:rPr>
          <w:rFonts w:ascii="宋体" w:hAnsi="宋体" w:eastAsia="宋体"/>
          <w:sz w:val="24"/>
          <w:szCs w:val="24"/>
        </w:rPr>
        <w:t>1</w:t>
      </w:r>
      <w:r>
        <w:rPr>
          <w:rFonts w:hint="eastAsia" w:ascii="宋体" w:hAnsi="宋体" w:eastAsia="宋体"/>
          <w:sz w:val="24"/>
          <w:szCs w:val="24"/>
        </w:rPr>
        <w:t>年的保修服务。保修期内，由非人为因素引起的故障均在保修范围内，中标人完全免费提供保修服务。保修期外，中标人提供终生的维修服务，且要求相关配件及人工费用低于平均市场价格。</w:t>
      </w:r>
    </w:p>
    <w:p w14:paraId="062BF9EA">
      <w:pPr>
        <w:autoSpaceDE w:val="0"/>
        <w:autoSpaceDN w:val="0"/>
        <w:spacing w:line="360" w:lineRule="auto"/>
        <w:ind w:left="420" w:hanging="420" w:hangingChars="175"/>
        <w:rPr>
          <w:rFonts w:ascii="宋体" w:hAnsi="宋体" w:eastAsia="宋体"/>
          <w:sz w:val="24"/>
          <w:szCs w:val="24"/>
        </w:rPr>
      </w:pPr>
      <w:r>
        <w:rPr>
          <w:rFonts w:hint="eastAsia" w:ascii="宋体" w:hAnsi="宋体" w:eastAsia="宋体"/>
          <w:sz w:val="24"/>
          <w:szCs w:val="24"/>
        </w:rPr>
        <w:t>3、中标人需提供至少3人/次的培训服务，确保用户方至少有2名操作人员可熟练使用。</w:t>
      </w:r>
    </w:p>
    <w:p w14:paraId="1A309A7A">
      <w:pPr>
        <w:autoSpaceDE w:val="0"/>
        <w:autoSpaceDN w:val="0"/>
        <w:spacing w:line="360" w:lineRule="auto"/>
        <w:ind w:left="420" w:hanging="420" w:hangingChars="175"/>
        <w:rPr>
          <w:rFonts w:hint="eastAsia" w:ascii="宋体" w:hAnsi="宋体" w:eastAsia="宋体"/>
          <w:sz w:val="24"/>
          <w:szCs w:val="24"/>
        </w:rPr>
      </w:pPr>
      <w:r>
        <w:rPr>
          <w:rFonts w:hint="eastAsia" w:ascii="宋体" w:hAnsi="宋体" w:eastAsia="宋体"/>
          <w:sz w:val="24"/>
          <w:szCs w:val="24"/>
        </w:rPr>
        <w:t>4、中标人须提供24小时电话应急服务，接到采购人维修通知（含电话）后24小时内解决故障。</w:t>
      </w:r>
    </w:p>
    <w:p w14:paraId="27B0328C">
      <w:pPr>
        <w:pStyle w:val="10"/>
        <w:numPr>
          <w:ilvl w:val="0"/>
          <w:numId w:val="4"/>
        </w:numPr>
        <w:ind w:firstLineChars="0"/>
        <w:jc w:val="left"/>
        <w:rPr>
          <w:rFonts w:ascii="宋体" w:hAnsi="宋体"/>
          <w:sz w:val="24"/>
          <w:szCs w:val="24"/>
        </w:rPr>
      </w:pPr>
      <w:r>
        <w:rPr>
          <w:rFonts w:hint="eastAsia" w:ascii="宋体" w:hAnsi="宋体"/>
          <w:sz w:val="24"/>
          <w:szCs w:val="24"/>
        </w:rPr>
        <w:t>交货期：合同签订后</w:t>
      </w: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个工作日内。</w:t>
      </w:r>
    </w:p>
    <w:p w14:paraId="25F73D88">
      <w:pPr>
        <w:pStyle w:val="10"/>
        <w:numPr>
          <w:ilvl w:val="0"/>
          <w:numId w:val="4"/>
        </w:numPr>
        <w:ind w:firstLineChars="0"/>
        <w:jc w:val="left"/>
        <w:rPr>
          <w:rFonts w:ascii="宋体" w:hAnsi="宋体"/>
          <w:sz w:val="24"/>
          <w:szCs w:val="24"/>
        </w:rPr>
      </w:pPr>
      <w:r>
        <w:rPr>
          <w:rFonts w:hint="eastAsia" w:ascii="宋体" w:hAnsi="宋体"/>
          <w:sz w:val="24"/>
          <w:szCs w:val="24"/>
        </w:rPr>
        <w:t>验收标准：</w:t>
      </w:r>
    </w:p>
    <w:p w14:paraId="3AEF5A8C">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eastAsia="宋体"/>
          <w:sz w:val="24"/>
          <w:szCs w:val="24"/>
        </w:rPr>
        <w:t xml:space="preserve"> </w:t>
      </w:r>
    </w:p>
    <w:p w14:paraId="2D918619">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、进口产品必须具备原产地证明和商检局的检验证明及合法进货渠道证明。评审小组在各投标人的报价有限期内有权要求投标人提供进口货物的报关单。</w:t>
      </w:r>
    </w:p>
    <w:p w14:paraId="0292030B">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、货物为原厂商未启封全新包装，具出厂合格证，序列号、包装箱号与出厂批号一致，并可追索查阅。所有随设备的附件必须齐全。</w:t>
      </w:r>
    </w:p>
    <w:p w14:paraId="590C5368">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、乙方应将关键主机设备的用户手册、保修手册、有关单证资料及配备件、随机工具等交付给甲方，使用操作及安全须知等重要资料应附有中文说明。</w:t>
      </w:r>
    </w:p>
    <w:p w14:paraId="75C824E0">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1F90ADC6">
      <w:pPr>
        <w:pStyle w:val="10"/>
        <w:numPr>
          <w:ilvl w:val="0"/>
          <w:numId w:val="4"/>
        </w:numPr>
        <w:ind w:firstLineChars="0"/>
        <w:jc w:val="left"/>
        <w:rPr>
          <w:rFonts w:ascii="宋体" w:hAnsi="宋体"/>
          <w:sz w:val="24"/>
          <w:szCs w:val="24"/>
        </w:rPr>
      </w:pPr>
      <w:r>
        <w:rPr>
          <w:rFonts w:hint="eastAsia" w:ascii="宋体" w:hAnsi="宋体"/>
          <w:sz w:val="24"/>
          <w:szCs w:val="24"/>
        </w:rPr>
        <w:t>付款方式：</w:t>
      </w:r>
    </w:p>
    <w:p w14:paraId="5237249D">
      <w:pPr>
        <w:spacing w:line="360" w:lineRule="auto"/>
        <w:rPr>
          <w:rFonts w:ascii="宋体" w:hAnsi="宋体" w:eastAsia="宋体"/>
          <w:sz w:val="24"/>
          <w:szCs w:val="24"/>
        </w:rPr>
      </w:pPr>
      <w:r>
        <w:rPr>
          <w:rFonts w:ascii="宋体" w:hAnsi="宋体" w:eastAsia="宋体"/>
          <w:sz w:val="24"/>
          <w:szCs w:val="24"/>
        </w:rPr>
        <w:t>1、合同签订后，7个工作日内支付合同总额的50%款项。</w:t>
      </w:r>
    </w:p>
    <w:p w14:paraId="348CCD6C">
      <w:pPr>
        <w:spacing w:line="360" w:lineRule="auto"/>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全部货物到达交货地点，安装、调试并验收合格</w:t>
      </w:r>
      <w:r>
        <w:rPr>
          <w:rFonts w:hint="eastAsia" w:ascii="宋体" w:hAnsi="宋体" w:eastAsia="宋体"/>
          <w:sz w:val="24"/>
          <w:szCs w:val="24"/>
        </w:rPr>
        <w:t>后</w:t>
      </w:r>
      <w:r>
        <w:rPr>
          <w:rFonts w:ascii="宋体" w:hAnsi="宋体" w:eastAsia="宋体"/>
          <w:sz w:val="24"/>
          <w:szCs w:val="24"/>
        </w:rPr>
        <w:t>15</w:t>
      </w:r>
      <w:r>
        <w:rPr>
          <w:rFonts w:hint="eastAsia" w:ascii="宋体" w:hAnsi="宋体" w:eastAsia="宋体"/>
          <w:sz w:val="24"/>
          <w:szCs w:val="24"/>
        </w:rPr>
        <w:t>个工作日内</w:t>
      </w:r>
      <w:r>
        <w:rPr>
          <w:rFonts w:ascii="宋体" w:hAnsi="宋体" w:eastAsia="宋体"/>
          <w:sz w:val="24"/>
          <w:szCs w:val="24"/>
        </w:rPr>
        <w:t>，采购人办理支付手续支付合同余额；</w:t>
      </w:r>
    </w:p>
    <w:p w14:paraId="04BF42BF">
      <w:pPr>
        <w:spacing w:line="360" w:lineRule="auto"/>
        <w:rPr>
          <w:rFonts w:ascii="宋体" w:hAnsi="宋体" w:eastAsia="宋体"/>
          <w:b/>
          <w:sz w:val="24"/>
        </w:rPr>
      </w:pPr>
    </w:p>
    <w:p w14:paraId="791FFE91">
      <w:pPr>
        <w:spacing w:line="360" w:lineRule="auto"/>
        <w:rPr>
          <w:rFonts w:hint="eastAsia" w:ascii="宋体" w:hAnsi="宋体" w:eastAsia="宋体"/>
          <w:b/>
          <w:sz w:val="24"/>
        </w:rPr>
      </w:pPr>
    </w:p>
    <w:p w14:paraId="05E4F6A0">
      <w:pPr>
        <w:spacing w:line="360" w:lineRule="auto"/>
        <w:jc w:val="center"/>
        <w:rPr>
          <w:rFonts w:ascii="宋体" w:hAnsi="宋体" w:eastAsia="宋体"/>
          <w:bCs/>
          <w:kern w:val="0"/>
          <w:sz w:val="32"/>
          <w:szCs w:val="28"/>
          <w:lang w:val="zh-CN"/>
        </w:rPr>
      </w:pPr>
      <w:r>
        <w:rPr>
          <w:rFonts w:hint="eastAsia" w:ascii="宋体" w:hAnsi="宋体" w:eastAsia="宋体"/>
          <w:bCs/>
          <w:kern w:val="0"/>
          <w:sz w:val="32"/>
          <w:szCs w:val="28"/>
        </w:rPr>
        <w:t>监护型救护车辆</w:t>
      </w:r>
      <w:r>
        <w:rPr>
          <w:rFonts w:hint="eastAsia" w:ascii="宋体" w:hAnsi="宋体" w:eastAsia="宋体"/>
          <w:bCs/>
          <w:kern w:val="0"/>
          <w:sz w:val="32"/>
          <w:szCs w:val="28"/>
          <w:lang w:val="zh-CN"/>
        </w:rPr>
        <w:t>采购项目</w:t>
      </w:r>
    </w:p>
    <w:p w14:paraId="2F4CAA8F">
      <w:pPr>
        <w:widowControl/>
        <w:spacing w:line="360" w:lineRule="auto"/>
        <w:jc w:val="center"/>
        <w:rPr>
          <w:rFonts w:ascii="宋体" w:hAnsi="宋体" w:eastAsia="宋体"/>
          <w:b/>
          <w:kern w:val="0"/>
          <w:sz w:val="24"/>
        </w:rPr>
      </w:pPr>
      <w:r>
        <w:rPr>
          <w:rFonts w:hint="eastAsia" w:ascii="宋体" w:hAnsi="宋体" w:eastAsia="宋体"/>
          <w:b/>
          <w:kern w:val="0"/>
          <w:sz w:val="24"/>
        </w:rPr>
        <w:t>评分标准</w:t>
      </w:r>
    </w:p>
    <w:p w14:paraId="42B3046D">
      <w:pPr>
        <w:widowControl/>
        <w:spacing w:before="156" w:beforeLines="50" w:after="156" w:afterLines="50" w:line="360" w:lineRule="auto"/>
        <w:ind w:firstLine="420"/>
        <w:jc w:val="left"/>
        <w:rPr>
          <w:rFonts w:ascii="宋体" w:hAnsi="宋体" w:eastAsia="宋体"/>
          <w:kern w:val="0"/>
          <w:sz w:val="24"/>
        </w:rPr>
      </w:pPr>
      <w:r>
        <w:rPr>
          <w:rFonts w:hint="eastAsia" w:ascii="宋体" w:hAnsi="宋体" w:eastAsia="宋体"/>
          <w:kern w:val="0"/>
          <w:sz w:val="24"/>
        </w:rPr>
        <w:t>根据《中华人民共和国政府采购法》等有关法律法规，结合本项目的实际需求，制定本办法。</w:t>
      </w:r>
    </w:p>
    <w:p w14:paraId="7A12C1BF">
      <w:pPr>
        <w:widowControl/>
        <w:spacing w:before="156" w:beforeLines="50" w:after="156" w:afterLines="50" w:line="360" w:lineRule="auto"/>
        <w:ind w:firstLine="472" w:firstLineChars="196"/>
        <w:jc w:val="left"/>
        <w:rPr>
          <w:rFonts w:ascii="宋体" w:hAnsi="宋体" w:eastAsia="宋体"/>
          <w:b/>
          <w:kern w:val="0"/>
          <w:sz w:val="24"/>
        </w:rPr>
      </w:pPr>
      <w:r>
        <w:rPr>
          <w:rFonts w:hint="eastAsia" w:ascii="宋体" w:hAnsi="宋体" w:eastAsia="宋体"/>
          <w:b/>
          <w:kern w:val="0"/>
          <w:sz w:val="24"/>
        </w:rPr>
        <w:t>一、总则</w:t>
      </w:r>
    </w:p>
    <w:p w14:paraId="363218A4">
      <w:pPr>
        <w:widowControl/>
        <w:spacing w:before="156" w:beforeLines="50" w:after="156" w:afterLines="50" w:line="360" w:lineRule="auto"/>
        <w:ind w:firstLine="480" w:firstLineChars="200"/>
        <w:jc w:val="left"/>
        <w:rPr>
          <w:rFonts w:ascii="宋体" w:hAnsi="宋体" w:eastAsia="宋体"/>
          <w:bCs/>
          <w:kern w:val="0"/>
          <w:sz w:val="24"/>
        </w:rPr>
      </w:pPr>
      <w:r>
        <w:rPr>
          <w:rFonts w:hint="eastAsia" w:ascii="宋体" w:hAnsi="宋体" w:eastAsia="宋体"/>
          <w:kern w:val="0"/>
          <w:sz w:val="24"/>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w:t>
      </w:r>
      <w:r>
        <w:rPr>
          <w:rFonts w:hint="eastAsia" w:ascii="宋体" w:hAnsi="宋体" w:eastAsia="宋体"/>
          <w:bCs/>
          <w:kern w:val="0"/>
          <w:sz w:val="24"/>
        </w:rPr>
        <w:t>评分过程中采用四舍五入法，并保留小数2位。</w:t>
      </w:r>
    </w:p>
    <w:p w14:paraId="1D14390E">
      <w:pPr>
        <w:widowControl/>
        <w:spacing w:before="156" w:beforeLines="50" w:after="156" w:afterLines="50" w:line="360" w:lineRule="auto"/>
        <w:ind w:firstLine="472" w:firstLineChars="196"/>
        <w:jc w:val="left"/>
        <w:rPr>
          <w:rFonts w:ascii="宋体" w:hAnsi="宋体" w:eastAsia="宋体"/>
          <w:b/>
          <w:bCs/>
          <w:kern w:val="0"/>
          <w:sz w:val="24"/>
        </w:rPr>
      </w:pPr>
      <w:r>
        <w:rPr>
          <w:rFonts w:hint="eastAsia" w:ascii="宋体" w:hAnsi="宋体" w:eastAsia="宋体"/>
          <w:b/>
          <w:bCs/>
          <w:kern w:val="0"/>
          <w:sz w:val="24"/>
        </w:rPr>
        <w:t>二、资格审查</w:t>
      </w:r>
    </w:p>
    <w:p w14:paraId="07508686">
      <w:pPr>
        <w:widowControl/>
        <w:spacing w:before="156" w:beforeLines="50" w:after="156" w:afterLines="50" w:line="360" w:lineRule="auto"/>
        <w:ind w:firstLine="480" w:firstLineChars="200"/>
        <w:jc w:val="left"/>
        <w:rPr>
          <w:rFonts w:ascii="宋体" w:hAnsi="宋体" w:eastAsia="宋体"/>
          <w:kern w:val="0"/>
          <w:sz w:val="24"/>
        </w:rPr>
      </w:pPr>
      <w:r>
        <w:rPr>
          <w:rFonts w:hint="eastAsia" w:ascii="宋体" w:hAnsi="宋体" w:eastAsia="宋体"/>
          <w:kern w:val="0"/>
          <w:sz w:val="24"/>
        </w:rPr>
        <w:t>投保人资格条件审查，不满足资格条件做无效投标处理。</w:t>
      </w:r>
    </w:p>
    <w:p w14:paraId="282D00C3">
      <w:pPr>
        <w:widowControl/>
        <w:spacing w:before="156" w:beforeLines="50" w:after="156" w:afterLines="50" w:line="360" w:lineRule="auto"/>
        <w:ind w:firstLine="472" w:firstLineChars="196"/>
        <w:jc w:val="left"/>
        <w:rPr>
          <w:rFonts w:ascii="宋体" w:hAnsi="宋体" w:eastAsia="宋体"/>
          <w:b/>
          <w:bCs/>
          <w:kern w:val="0"/>
          <w:sz w:val="24"/>
        </w:rPr>
      </w:pPr>
      <w:r>
        <w:rPr>
          <w:rFonts w:hint="eastAsia" w:ascii="宋体" w:hAnsi="宋体" w:eastAsia="宋体"/>
          <w:b/>
          <w:bCs/>
          <w:kern w:val="0"/>
          <w:sz w:val="24"/>
        </w:rPr>
        <w:t>三、分值的计算</w:t>
      </w:r>
    </w:p>
    <w:p w14:paraId="45EC9843">
      <w:pPr>
        <w:widowControl/>
        <w:spacing w:before="156" w:beforeLines="50" w:after="156" w:afterLines="50" w:line="360" w:lineRule="auto"/>
        <w:ind w:firstLine="480" w:firstLineChars="200"/>
        <w:jc w:val="left"/>
        <w:rPr>
          <w:rFonts w:ascii="宋体" w:hAnsi="宋体" w:eastAsia="宋体"/>
          <w:kern w:val="0"/>
          <w:sz w:val="24"/>
        </w:rPr>
      </w:pPr>
      <w:r>
        <w:rPr>
          <w:rFonts w:hint="eastAsia" w:ascii="宋体" w:hAnsi="宋体" w:eastAsia="宋体"/>
          <w:kern w:val="0"/>
          <w:sz w:val="24"/>
        </w:rPr>
        <w:t>技术、资信、商务及其他分按照评标委员会成员的独立评分结果汇总后的算术平均分计算，计算公式为：</w:t>
      </w:r>
    </w:p>
    <w:p w14:paraId="71E73E31">
      <w:pPr>
        <w:widowControl/>
        <w:spacing w:before="156" w:beforeLines="50" w:after="156" w:afterLines="50" w:line="360" w:lineRule="auto"/>
        <w:ind w:firstLine="495"/>
        <w:jc w:val="left"/>
        <w:rPr>
          <w:rFonts w:ascii="宋体" w:hAnsi="宋体" w:eastAsia="宋体"/>
          <w:kern w:val="0"/>
          <w:sz w:val="24"/>
        </w:rPr>
      </w:pPr>
      <w:r>
        <w:rPr>
          <w:rFonts w:hint="eastAsia" w:ascii="宋体" w:hAnsi="宋体" w:eastAsia="宋体"/>
          <w:kern w:val="0"/>
          <w:sz w:val="24"/>
        </w:rPr>
        <w:t>技术、资信商务及其他分=评标委员会所有成员评分合计数/评标委员会组成人员数</w:t>
      </w:r>
    </w:p>
    <w:p w14:paraId="2A603C4C">
      <w:pPr>
        <w:widowControl/>
        <w:autoSpaceDE w:val="0"/>
        <w:autoSpaceDN w:val="0"/>
        <w:adjustRightInd w:val="0"/>
        <w:spacing w:line="360" w:lineRule="auto"/>
        <w:ind w:firstLine="480" w:firstLineChars="200"/>
        <w:jc w:val="left"/>
        <w:rPr>
          <w:rFonts w:ascii="宋体" w:hAnsi="宋体" w:eastAsia="宋体"/>
          <w:kern w:val="0"/>
          <w:sz w:val="24"/>
        </w:rPr>
      </w:pPr>
      <w:r>
        <w:rPr>
          <w:rFonts w:hint="eastAsia" w:ascii="宋体" w:hAnsi="宋体" w:eastAsia="宋体"/>
          <w:kern w:val="0"/>
          <w:sz w:val="24"/>
        </w:rPr>
        <w:t>投标人评标</w:t>
      </w:r>
      <w:r>
        <w:rPr>
          <w:rFonts w:hint="eastAsia" w:ascii="宋体" w:hAnsi="宋体" w:eastAsia="宋体"/>
          <w:bCs/>
          <w:kern w:val="0"/>
          <w:sz w:val="24"/>
        </w:rPr>
        <w:t>综合得分=价格分+(技术分+商务分)</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31"/>
        <w:gridCol w:w="3591"/>
      </w:tblGrid>
      <w:tr w14:paraId="6E395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55D36C35">
            <w:pPr>
              <w:widowControl/>
              <w:spacing w:line="360" w:lineRule="auto"/>
              <w:jc w:val="center"/>
              <w:rPr>
                <w:rFonts w:ascii="宋体" w:hAnsi="宋体" w:eastAsia="宋体"/>
                <w:b/>
                <w:kern w:val="0"/>
                <w:sz w:val="24"/>
              </w:rPr>
            </w:pPr>
            <w:r>
              <w:rPr>
                <w:rFonts w:hint="eastAsia" w:ascii="宋体" w:hAnsi="宋体" w:eastAsia="宋体"/>
                <w:b/>
                <w:kern w:val="0"/>
                <w:sz w:val="24"/>
              </w:rPr>
              <w:t>评分因素</w:t>
            </w:r>
          </w:p>
        </w:tc>
        <w:tc>
          <w:tcPr>
            <w:tcW w:w="2107" w:type="pct"/>
            <w:noWrap w:val="0"/>
            <w:vAlign w:val="center"/>
          </w:tcPr>
          <w:p w14:paraId="4C8725BF">
            <w:pPr>
              <w:widowControl/>
              <w:spacing w:line="360" w:lineRule="auto"/>
              <w:jc w:val="center"/>
              <w:rPr>
                <w:rFonts w:ascii="宋体" w:hAnsi="宋体" w:eastAsia="宋体"/>
                <w:b/>
                <w:kern w:val="0"/>
                <w:sz w:val="24"/>
              </w:rPr>
            </w:pPr>
            <w:r>
              <w:rPr>
                <w:rFonts w:hint="eastAsia" w:ascii="宋体" w:hAnsi="宋体" w:eastAsia="宋体"/>
                <w:b/>
                <w:kern w:val="0"/>
                <w:sz w:val="24"/>
              </w:rPr>
              <w:t>分值</w:t>
            </w:r>
          </w:p>
        </w:tc>
      </w:tr>
      <w:tr w14:paraId="79537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3D1E85F4">
            <w:pPr>
              <w:widowControl/>
              <w:spacing w:line="360" w:lineRule="auto"/>
              <w:ind w:firstLine="1039" w:firstLineChars="433"/>
              <w:jc w:val="left"/>
              <w:rPr>
                <w:rFonts w:ascii="宋体" w:hAnsi="宋体" w:eastAsia="宋体"/>
                <w:kern w:val="0"/>
                <w:sz w:val="24"/>
              </w:rPr>
            </w:pPr>
            <w:r>
              <w:rPr>
                <w:rFonts w:hint="eastAsia" w:ascii="宋体" w:hAnsi="宋体" w:eastAsia="宋体"/>
                <w:kern w:val="0"/>
                <w:sz w:val="24"/>
              </w:rPr>
              <w:t>1、价格部分</w:t>
            </w:r>
          </w:p>
        </w:tc>
        <w:tc>
          <w:tcPr>
            <w:tcW w:w="2107" w:type="pct"/>
            <w:noWrap w:val="0"/>
            <w:vAlign w:val="center"/>
          </w:tcPr>
          <w:p w14:paraId="4546D40A">
            <w:pPr>
              <w:widowControl/>
              <w:spacing w:line="360" w:lineRule="auto"/>
              <w:jc w:val="center"/>
              <w:rPr>
                <w:rFonts w:ascii="宋体" w:hAnsi="宋体" w:eastAsia="宋体"/>
                <w:kern w:val="0"/>
                <w:sz w:val="24"/>
              </w:rPr>
            </w:pPr>
            <w:r>
              <w:rPr>
                <w:rFonts w:hint="eastAsia" w:ascii="宋体" w:hAnsi="宋体" w:eastAsia="宋体"/>
                <w:kern w:val="0"/>
                <w:sz w:val="24"/>
              </w:rPr>
              <w:t>30分</w:t>
            </w:r>
          </w:p>
        </w:tc>
      </w:tr>
      <w:tr w14:paraId="51FE2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77E2E62B">
            <w:pPr>
              <w:widowControl/>
              <w:spacing w:line="360" w:lineRule="auto"/>
              <w:ind w:firstLine="1039" w:firstLineChars="433"/>
              <w:jc w:val="left"/>
              <w:rPr>
                <w:rFonts w:ascii="宋体" w:hAnsi="宋体" w:eastAsia="宋体"/>
                <w:kern w:val="0"/>
                <w:sz w:val="24"/>
              </w:rPr>
            </w:pPr>
            <w:r>
              <w:rPr>
                <w:rFonts w:hint="eastAsia" w:ascii="宋体" w:hAnsi="宋体" w:eastAsia="宋体"/>
                <w:kern w:val="0"/>
                <w:sz w:val="24"/>
              </w:rPr>
              <w:t>2、技术部分</w:t>
            </w:r>
          </w:p>
        </w:tc>
        <w:tc>
          <w:tcPr>
            <w:tcW w:w="2107" w:type="pct"/>
            <w:noWrap w:val="0"/>
            <w:vAlign w:val="center"/>
          </w:tcPr>
          <w:p w14:paraId="1C12C238">
            <w:pPr>
              <w:widowControl/>
              <w:spacing w:line="360" w:lineRule="auto"/>
              <w:jc w:val="center"/>
              <w:rPr>
                <w:rFonts w:ascii="宋体" w:hAnsi="宋体" w:eastAsia="宋体"/>
                <w:kern w:val="0"/>
                <w:sz w:val="24"/>
              </w:rPr>
            </w:pPr>
            <w:r>
              <w:rPr>
                <w:rFonts w:hint="eastAsia" w:ascii="宋体" w:hAnsi="宋体" w:eastAsia="宋体"/>
                <w:kern w:val="0"/>
                <w:sz w:val="24"/>
              </w:rPr>
              <w:t>45分</w:t>
            </w:r>
          </w:p>
        </w:tc>
      </w:tr>
      <w:tr w14:paraId="03470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4E5BC134">
            <w:pPr>
              <w:widowControl/>
              <w:spacing w:line="360" w:lineRule="auto"/>
              <w:ind w:firstLine="1039" w:firstLineChars="433"/>
              <w:jc w:val="left"/>
              <w:rPr>
                <w:rFonts w:ascii="宋体" w:hAnsi="宋体" w:eastAsia="宋体"/>
                <w:kern w:val="0"/>
                <w:sz w:val="24"/>
              </w:rPr>
            </w:pPr>
            <w:r>
              <w:rPr>
                <w:rFonts w:hint="eastAsia" w:ascii="宋体" w:hAnsi="宋体" w:eastAsia="宋体"/>
                <w:kern w:val="0"/>
                <w:sz w:val="24"/>
              </w:rPr>
              <w:t>3、商务部分</w:t>
            </w:r>
          </w:p>
        </w:tc>
        <w:tc>
          <w:tcPr>
            <w:tcW w:w="2107" w:type="pct"/>
            <w:noWrap w:val="0"/>
            <w:vAlign w:val="center"/>
          </w:tcPr>
          <w:p w14:paraId="45B3B40E">
            <w:pPr>
              <w:widowControl/>
              <w:spacing w:line="360" w:lineRule="auto"/>
              <w:jc w:val="center"/>
              <w:rPr>
                <w:rFonts w:ascii="宋体" w:hAnsi="宋体" w:eastAsia="宋体"/>
                <w:kern w:val="0"/>
                <w:sz w:val="24"/>
              </w:rPr>
            </w:pPr>
            <w:r>
              <w:rPr>
                <w:rFonts w:hint="eastAsia" w:ascii="宋体" w:hAnsi="宋体" w:eastAsia="宋体"/>
                <w:kern w:val="0"/>
                <w:sz w:val="24"/>
              </w:rPr>
              <w:t>25分</w:t>
            </w:r>
          </w:p>
        </w:tc>
      </w:tr>
    </w:tbl>
    <w:p w14:paraId="239D305C">
      <w:pPr>
        <w:widowControl/>
        <w:spacing w:before="156" w:beforeLines="50" w:after="468" w:afterLines="150" w:line="360" w:lineRule="auto"/>
        <w:ind w:firstLine="482" w:firstLineChars="200"/>
        <w:jc w:val="left"/>
        <w:rPr>
          <w:rFonts w:ascii="宋体" w:hAnsi="宋体" w:eastAsia="宋体"/>
          <w:b/>
          <w:kern w:val="0"/>
          <w:sz w:val="24"/>
        </w:rPr>
      </w:pPr>
      <w:r>
        <w:rPr>
          <w:rFonts w:hint="eastAsia" w:ascii="宋体" w:hAnsi="宋体" w:eastAsia="宋体"/>
          <w:b/>
          <w:kern w:val="0"/>
          <w:sz w:val="24"/>
        </w:rPr>
        <w:t>三、评标内容及标准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663"/>
        <w:gridCol w:w="1608"/>
        <w:gridCol w:w="1037"/>
        <w:gridCol w:w="1084"/>
        <w:gridCol w:w="3497"/>
      </w:tblGrid>
      <w:tr w14:paraId="6DEB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5EEFD3F8">
            <w:pPr>
              <w:widowControl/>
              <w:jc w:val="center"/>
              <w:rPr>
                <w:rFonts w:ascii="宋体" w:hAnsi="宋体" w:eastAsia="宋体"/>
                <w:kern w:val="0"/>
                <w:sz w:val="24"/>
              </w:rPr>
            </w:pPr>
            <w:r>
              <w:rPr>
                <w:rFonts w:hint="eastAsia" w:ascii="宋体" w:hAnsi="宋体" w:eastAsia="宋体"/>
                <w:kern w:val="0"/>
                <w:sz w:val="24"/>
              </w:rPr>
              <w:t>序号</w:t>
            </w:r>
          </w:p>
        </w:tc>
        <w:tc>
          <w:tcPr>
            <w:tcW w:w="2576" w:type="pct"/>
            <w:gridSpan w:val="4"/>
            <w:noWrap w:val="0"/>
            <w:vAlign w:val="center"/>
          </w:tcPr>
          <w:p w14:paraId="60E159AA">
            <w:pPr>
              <w:widowControl/>
              <w:jc w:val="center"/>
              <w:rPr>
                <w:rFonts w:ascii="宋体" w:hAnsi="宋体" w:eastAsia="宋体"/>
                <w:kern w:val="0"/>
                <w:sz w:val="24"/>
              </w:rPr>
            </w:pPr>
            <w:r>
              <w:rPr>
                <w:rFonts w:hint="eastAsia" w:ascii="宋体" w:hAnsi="宋体" w:eastAsia="宋体"/>
                <w:kern w:val="0"/>
                <w:sz w:val="24"/>
              </w:rPr>
              <w:t>评分项</w:t>
            </w:r>
          </w:p>
        </w:tc>
        <w:tc>
          <w:tcPr>
            <w:tcW w:w="2051" w:type="pct"/>
            <w:noWrap w:val="0"/>
            <w:vAlign w:val="center"/>
          </w:tcPr>
          <w:p w14:paraId="2995C8CF">
            <w:pPr>
              <w:widowControl/>
              <w:jc w:val="center"/>
              <w:rPr>
                <w:rFonts w:ascii="宋体" w:hAnsi="宋体" w:eastAsia="宋体"/>
                <w:kern w:val="0"/>
                <w:sz w:val="24"/>
              </w:rPr>
            </w:pPr>
            <w:r>
              <w:rPr>
                <w:rFonts w:hint="eastAsia" w:ascii="宋体" w:hAnsi="宋体" w:eastAsia="宋体"/>
                <w:kern w:val="0"/>
                <w:sz w:val="24"/>
              </w:rPr>
              <w:t>权重</w:t>
            </w:r>
          </w:p>
        </w:tc>
      </w:tr>
      <w:tr w14:paraId="5868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5BBEE34C">
            <w:pPr>
              <w:widowControl/>
              <w:jc w:val="center"/>
              <w:rPr>
                <w:rFonts w:ascii="宋体" w:hAnsi="宋体" w:eastAsia="宋体"/>
                <w:kern w:val="0"/>
                <w:sz w:val="24"/>
              </w:rPr>
            </w:pPr>
            <w:r>
              <w:rPr>
                <w:rFonts w:ascii="宋体" w:hAnsi="宋体" w:eastAsia="宋体"/>
                <w:kern w:val="0"/>
                <w:sz w:val="24"/>
              </w:rPr>
              <w:t>1</w:t>
            </w:r>
          </w:p>
        </w:tc>
        <w:tc>
          <w:tcPr>
            <w:tcW w:w="2576" w:type="pct"/>
            <w:gridSpan w:val="4"/>
            <w:noWrap w:val="0"/>
            <w:vAlign w:val="center"/>
          </w:tcPr>
          <w:p w14:paraId="75507EBD">
            <w:pPr>
              <w:widowControl/>
              <w:jc w:val="center"/>
              <w:rPr>
                <w:rFonts w:ascii="宋体" w:hAnsi="宋体" w:eastAsia="宋体"/>
                <w:kern w:val="0"/>
                <w:sz w:val="24"/>
              </w:rPr>
            </w:pPr>
            <w:r>
              <w:rPr>
                <w:rFonts w:hint="eastAsia" w:ascii="宋体" w:hAnsi="宋体" w:eastAsia="宋体"/>
                <w:kern w:val="0"/>
                <w:sz w:val="24"/>
              </w:rPr>
              <w:t>价格部分</w:t>
            </w:r>
          </w:p>
        </w:tc>
        <w:tc>
          <w:tcPr>
            <w:tcW w:w="2051" w:type="pct"/>
            <w:noWrap w:val="0"/>
            <w:vAlign w:val="center"/>
          </w:tcPr>
          <w:p w14:paraId="68BE17FB">
            <w:pPr>
              <w:widowControl/>
              <w:jc w:val="center"/>
              <w:rPr>
                <w:rFonts w:ascii="宋体" w:hAnsi="宋体" w:eastAsia="宋体"/>
                <w:kern w:val="0"/>
                <w:sz w:val="24"/>
              </w:rPr>
            </w:pPr>
            <w:r>
              <w:rPr>
                <w:rFonts w:hint="eastAsia" w:ascii="宋体" w:hAnsi="宋体" w:eastAsia="宋体"/>
                <w:kern w:val="0"/>
                <w:sz w:val="24"/>
              </w:rPr>
              <w:t>30</w:t>
            </w:r>
          </w:p>
        </w:tc>
      </w:tr>
      <w:tr w14:paraId="45C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198BC42D">
            <w:pPr>
              <w:widowControl/>
              <w:jc w:val="center"/>
              <w:rPr>
                <w:rFonts w:ascii="宋体" w:hAnsi="宋体" w:eastAsia="宋体"/>
                <w:kern w:val="0"/>
                <w:sz w:val="24"/>
              </w:rPr>
            </w:pPr>
            <w:r>
              <w:rPr>
                <w:rFonts w:ascii="宋体" w:hAnsi="宋体" w:eastAsia="宋体"/>
                <w:kern w:val="0"/>
                <w:sz w:val="24"/>
              </w:rPr>
              <w:t>2</w:t>
            </w:r>
          </w:p>
        </w:tc>
        <w:tc>
          <w:tcPr>
            <w:tcW w:w="2576" w:type="pct"/>
            <w:gridSpan w:val="4"/>
            <w:noWrap w:val="0"/>
            <w:vAlign w:val="center"/>
          </w:tcPr>
          <w:p w14:paraId="467DA5CF">
            <w:pPr>
              <w:widowControl/>
              <w:jc w:val="center"/>
              <w:rPr>
                <w:rFonts w:ascii="宋体" w:hAnsi="宋体" w:eastAsia="宋体"/>
                <w:kern w:val="0"/>
                <w:sz w:val="24"/>
              </w:rPr>
            </w:pPr>
            <w:r>
              <w:rPr>
                <w:rFonts w:hint="eastAsia" w:ascii="宋体" w:hAnsi="宋体" w:eastAsia="宋体"/>
                <w:kern w:val="0"/>
                <w:sz w:val="24"/>
              </w:rPr>
              <w:t>技术部分</w:t>
            </w:r>
          </w:p>
        </w:tc>
        <w:tc>
          <w:tcPr>
            <w:tcW w:w="2051" w:type="pct"/>
            <w:noWrap w:val="0"/>
            <w:vAlign w:val="center"/>
          </w:tcPr>
          <w:p w14:paraId="02703685">
            <w:pPr>
              <w:widowControl/>
              <w:jc w:val="center"/>
              <w:rPr>
                <w:rFonts w:ascii="宋体" w:hAnsi="宋体" w:eastAsia="宋体"/>
                <w:kern w:val="0"/>
                <w:sz w:val="24"/>
              </w:rPr>
            </w:pPr>
            <w:r>
              <w:rPr>
                <w:rFonts w:hint="eastAsia" w:ascii="宋体" w:hAnsi="宋体" w:eastAsia="宋体"/>
                <w:kern w:val="0"/>
                <w:sz w:val="24"/>
              </w:rPr>
              <w:t>4</w:t>
            </w:r>
            <w:r>
              <w:rPr>
                <w:rFonts w:ascii="宋体" w:hAnsi="宋体" w:eastAsia="宋体"/>
                <w:kern w:val="0"/>
                <w:sz w:val="24"/>
              </w:rPr>
              <w:t>5</w:t>
            </w:r>
          </w:p>
        </w:tc>
      </w:tr>
      <w:tr w14:paraId="78E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noWrap w:val="0"/>
            <w:vAlign w:val="center"/>
          </w:tcPr>
          <w:p w14:paraId="79405A48">
            <w:pPr>
              <w:widowControl/>
              <w:jc w:val="center"/>
              <w:rPr>
                <w:rFonts w:ascii="宋体" w:hAnsi="宋体" w:eastAsia="宋体"/>
                <w:kern w:val="0"/>
                <w:sz w:val="24"/>
              </w:rPr>
            </w:pPr>
          </w:p>
        </w:tc>
        <w:tc>
          <w:tcPr>
            <w:tcW w:w="389" w:type="pct"/>
            <w:noWrap w:val="0"/>
            <w:vAlign w:val="center"/>
          </w:tcPr>
          <w:p w14:paraId="508802F5">
            <w:pPr>
              <w:widowControl/>
              <w:jc w:val="center"/>
              <w:rPr>
                <w:rFonts w:ascii="宋体" w:hAnsi="宋体" w:eastAsia="宋体"/>
                <w:kern w:val="0"/>
                <w:sz w:val="24"/>
              </w:rPr>
            </w:pPr>
            <w:r>
              <w:rPr>
                <w:rFonts w:hint="eastAsia" w:ascii="宋体" w:hAnsi="宋体" w:eastAsia="宋体"/>
                <w:kern w:val="0"/>
                <w:sz w:val="24"/>
              </w:rPr>
              <w:t>序号</w:t>
            </w:r>
          </w:p>
        </w:tc>
        <w:tc>
          <w:tcPr>
            <w:tcW w:w="943" w:type="pct"/>
            <w:noWrap w:val="0"/>
            <w:vAlign w:val="center"/>
          </w:tcPr>
          <w:p w14:paraId="22B645CB">
            <w:pPr>
              <w:widowControl/>
              <w:jc w:val="center"/>
              <w:rPr>
                <w:rFonts w:ascii="宋体" w:hAnsi="宋体" w:eastAsia="宋体"/>
                <w:kern w:val="0"/>
                <w:sz w:val="24"/>
              </w:rPr>
            </w:pPr>
            <w:r>
              <w:rPr>
                <w:rFonts w:hint="eastAsia" w:ascii="宋体" w:hAnsi="宋体" w:eastAsia="宋体"/>
                <w:kern w:val="0"/>
                <w:sz w:val="24"/>
              </w:rPr>
              <w:t>评分因素</w:t>
            </w:r>
          </w:p>
        </w:tc>
        <w:tc>
          <w:tcPr>
            <w:tcW w:w="608" w:type="pct"/>
            <w:noWrap w:val="0"/>
            <w:vAlign w:val="center"/>
          </w:tcPr>
          <w:p w14:paraId="27C672DA">
            <w:pPr>
              <w:widowControl/>
              <w:jc w:val="center"/>
              <w:rPr>
                <w:rFonts w:ascii="宋体" w:hAnsi="宋体" w:eastAsia="宋体"/>
                <w:kern w:val="0"/>
                <w:sz w:val="24"/>
              </w:rPr>
            </w:pPr>
            <w:r>
              <w:rPr>
                <w:rFonts w:hint="eastAsia" w:ascii="宋体" w:hAnsi="宋体" w:eastAsia="宋体"/>
                <w:kern w:val="0"/>
                <w:sz w:val="24"/>
              </w:rPr>
              <w:t>权重</w:t>
            </w:r>
          </w:p>
        </w:tc>
        <w:tc>
          <w:tcPr>
            <w:tcW w:w="634" w:type="pct"/>
            <w:noWrap w:val="0"/>
            <w:vAlign w:val="center"/>
          </w:tcPr>
          <w:p w14:paraId="41FA6ECA">
            <w:pPr>
              <w:widowControl/>
              <w:jc w:val="center"/>
              <w:rPr>
                <w:rFonts w:ascii="宋体" w:hAnsi="宋体" w:eastAsia="宋体"/>
                <w:kern w:val="0"/>
                <w:sz w:val="24"/>
              </w:rPr>
            </w:pPr>
            <w:r>
              <w:rPr>
                <w:rFonts w:hint="eastAsia" w:ascii="宋体" w:hAnsi="宋体" w:eastAsia="宋体"/>
                <w:kern w:val="0"/>
                <w:sz w:val="24"/>
              </w:rPr>
              <w:t>评分方式</w:t>
            </w:r>
          </w:p>
        </w:tc>
        <w:tc>
          <w:tcPr>
            <w:tcW w:w="2051" w:type="pct"/>
            <w:noWrap w:val="0"/>
            <w:vAlign w:val="center"/>
          </w:tcPr>
          <w:p w14:paraId="03598D2D">
            <w:pPr>
              <w:widowControl/>
              <w:jc w:val="center"/>
              <w:rPr>
                <w:rFonts w:ascii="宋体" w:hAnsi="宋体" w:eastAsia="宋体"/>
                <w:kern w:val="0"/>
                <w:sz w:val="24"/>
              </w:rPr>
            </w:pPr>
            <w:r>
              <w:rPr>
                <w:rFonts w:hint="eastAsia" w:ascii="宋体" w:hAnsi="宋体" w:eastAsia="宋体"/>
                <w:kern w:val="0"/>
                <w:sz w:val="24"/>
              </w:rPr>
              <w:t>评分准则</w:t>
            </w:r>
          </w:p>
        </w:tc>
      </w:tr>
      <w:tr w14:paraId="3266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71" w:type="pct"/>
            <w:vMerge w:val="continue"/>
            <w:noWrap w:val="0"/>
            <w:vAlign w:val="center"/>
          </w:tcPr>
          <w:p w14:paraId="5D168966">
            <w:pPr>
              <w:widowControl/>
              <w:jc w:val="center"/>
              <w:rPr>
                <w:rFonts w:ascii="宋体" w:hAnsi="宋体" w:eastAsia="宋体"/>
                <w:kern w:val="0"/>
                <w:sz w:val="24"/>
              </w:rPr>
            </w:pPr>
          </w:p>
        </w:tc>
        <w:tc>
          <w:tcPr>
            <w:tcW w:w="389" w:type="pct"/>
            <w:noWrap w:val="0"/>
            <w:vAlign w:val="center"/>
          </w:tcPr>
          <w:p w14:paraId="78D1ED7A">
            <w:pPr>
              <w:widowControl/>
              <w:jc w:val="center"/>
              <w:rPr>
                <w:rFonts w:ascii="宋体" w:hAnsi="宋体" w:eastAsia="宋体"/>
                <w:kern w:val="0"/>
                <w:sz w:val="24"/>
              </w:rPr>
            </w:pPr>
            <w:r>
              <w:rPr>
                <w:rFonts w:hint="eastAsia" w:ascii="宋体" w:hAnsi="宋体" w:eastAsia="宋体"/>
                <w:kern w:val="0"/>
                <w:sz w:val="24"/>
              </w:rPr>
              <w:t>1</w:t>
            </w:r>
          </w:p>
        </w:tc>
        <w:tc>
          <w:tcPr>
            <w:tcW w:w="943" w:type="pct"/>
            <w:noWrap w:val="0"/>
            <w:vAlign w:val="center"/>
          </w:tcPr>
          <w:p w14:paraId="6273B7DC">
            <w:pPr>
              <w:widowControl/>
              <w:jc w:val="left"/>
              <w:rPr>
                <w:rFonts w:ascii="宋体" w:hAnsi="宋体" w:eastAsia="宋体"/>
                <w:kern w:val="0"/>
                <w:sz w:val="24"/>
              </w:rPr>
            </w:pPr>
            <w:r>
              <w:rPr>
                <w:rFonts w:hint="eastAsia" w:ascii="宋体" w:hAnsi="宋体" w:eastAsia="宋体"/>
                <w:kern w:val="0"/>
                <w:sz w:val="24"/>
              </w:rPr>
              <w:t>车型选择</w:t>
            </w:r>
          </w:p>
        </w:tc>
        <w:tc>
          <w:tcPr>
            <w:tcW w:w="608" w:type="pct"/>
            <w:noWrap w:val="0"/>
            <w:vAlign w:val="center"/>
          </w:tcPr>
          <w:p w14:paraId="351E3B5B">
            <w:pPr>
              <w:widowControl/>
              <w:jc w:val="center"/>
              <w:rPr>
                <w:rFonts w:ascii="宋体" w:hAnsi="宋体" w:eastAsia="宋体"/>
                <w:kern w:val="0"/>
                <w:sz w:val="24"/>
              </w:rPr>
            </w:pPr>
            <w:r>
              <w:rPr>
                <w:rFonts w:ascii="宋体" w:hAnsi="宋体" w:eastAsia="宋体"/>
                <w:kern w:val="0"/>
                <w:sz w:val="24"/>
              </w:rPr>
              <w:t>3</w:t>
            </w:r>
            <w:r>
              <w:rPr>
                <w:rFonts w:hint="eastAsia" w:ascii="宋体" w:hAnsi="宋体" w:eastAsia="宋体"/>
                <w:kern w:val="0"/>
                <w:sz w:val="24"/>
              </w:rPr>
              <w:t>分</w:t>
            </w:r>
          </w:p>
        </w:tc>
        <w:tc>
          <w:tcPr>
            <w:tcW w:w="634" w:type="pct"/>
            <w:noWrap w:val="0"/>
            <w:vAlign w:val="center"/>
          </w:tcPr>
          <w:p w14:paraId="5939E04A">
            <w:pPr>
              <w:widowControl/>
              <w:jc w:val="center"/>
              <w:rPr>
                <w:rFonts w:ascii="宋体" w:hAnsi="宋体" w:eastAsia="宋体"/>
                <w:kern w:val="0"/>
                <w:sz w:val="24"/>
              </w:rPr>
            </w:pPr>
            <w:r>
              <w:rPr>
                <w:rFonts w:hint="eastAsia" w:ascii="宋体" w:hAnsi="宋体" w:eastAsia="宋体"/>
                <w:kern w:val="0"/>
                <w:sz w:val="24"/>
              </w:rPr>
              <w:t>专家打分</w:t>
            </w:r>
          </w:p>
        </w:tc>
        <w:tc>
          <w:tcPr>
            <w:tcW w:w="2051" w:type="pct"/>
            <w:noWrap w:val="0"/>
            <w:vAlign w:val="center"/>
          </w:tcPr>
          <w:p w14:paraId="20FCA785">
            <w:pPr>
              <w:widowControl/>
              <w:jc w:val="left"/>
              <w:rPr>
                <w:rFonts w:ascii="宋体" w:hAnsi="宋体" w:eastAsia="宋体"/>
                <w:kern w:val="0"/>
                <w:sz w:val="24"/>
              </w:rPr>
            </w:pPr>
            <w:r>
              <w:rPr>
                <w:rFonts w:hint="eastAsia" w:ascii="宋体" w:hAnsi="宋体" w:eastAsia="宋体"/>
                <w:kern w:val="0"/>
                <w:sz w:val="24"/>
              </w:rPr>
              <w:t>评标委员会根据车辆选型市场知名度、是否科学合理、满足用户使用情况打分：优</w:t>
            </w:r>
            <w:r>
              <w:rPr>
                <w:rFonts w:ascii="宋体" w:hAnsi="宋体" w:eastAsia="宋体"/>
                <w:kern w:val="0"/>
                <w:sz w:val="24"/>
              </w:rPr>
              <w:t>3</w:t>
            </w:r>
            <w:r>
              <w:rPr>
                <w:rFonts w:hint="eastAsia" w:ascii="宋体" w:hAnsi="宋体" w:eastAsia="宋体"/>
                <w:kern w:val="0"/>
                <w:sz w:val="24"/>
              </w:rPr>
              <w:t>分，良</w:t>
            </w:r>
            <w:r>
              <w:rPr>
                <w:rFonts w:ascii="宋体" w:hAnsi="宋体" w:eastAsia="宋体"/>
                <w:kern w:val="0"/>
                <w:sz w:val="24"/>
              </w:rPr>
              <w:t>2</w:t>
            </w:r>
            <w:r>
              <w:rPr>
                <w:rFonts w:hint="eastAsia" w:ascii="宋体" w:hAnsi="宋体" w:eastAsia="宋体"/>
                <w:kern w:val="0"/>
                <w:sz w:val="24"/>
              </w:rPr>
              <w:t>分，中1分，差0分。</w:t>
            </w:r>
          </w:p>
        </w:tc>
      </w:tr>
      <w:tr w14:paraId="2CB1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1" w:type="pct"/>
            <w:vMerge w:val="continue"/>
            <w:noWrap w:val="0"/>
            <w:vAlign w:val="center"/>
          </w:tcPr>
          <w:p w14:paraId="5A06E6B9">
            <w:pPr>
              <w:widowControl/>
              <w:jc w:val="center"/>
              <w:rPr>
                <w:rFonts w:ascii="宋体" w:hAnsi="宋体" w:eastAsia="宋体"/>
                <w:kern w:val="0"/>
                <w:sz w:val="24"/>
              </w:rPr>
            </w:pPr>
          </w:p>
        </w:tc>
        <w:tc>
          <w:tcPr>
            <w:tcW w:w="389" w:type="pct"/>
            <w:noWrap w:val="0"/>
            <w:vAlign w:val="center"/>
          </w:tcPr>
          <w:p w14:paraId="53CAD7E4">
            <w:pPr>
              <w:widowControl/>
              <w:jc w:val="center"/>
              <w:rPr>
                <w:rFonts w:ascii="宋体" w:hAnsi="宋体" w:eastAsia="宋体"/>
                <w:kern w:val="0"/>
                <w:sz w:val="24"/>
              </w:rPr>
            </w:pPr>
            <w:r>
              <w:rPr>
                <w:rFonts w:hint="eastAsia" w:ascii="宋体" w:hAnsi="宋体" w:eastAsia="宋体"/>
                <w:kern w:val="0"/>
                <w:sz w:val="24"/>
              </w:rPr>
              <w:t>2</w:t>
            </w:r>
          </w:p>
        </w:tc>
        <w:tc>
          <w:tcPr>
            <w:tcW w:w="943" w:type="pct"/>
            <w:noWrap w:val="0"/>
            <w:vAlign w:val="center"/>
          </w:tcPr>
          <w:p w14:paraId="0888D1A7">
            <w:pPr>
              <w:widowControl/>
              <w:jc w:val="left"/>
              <w:rPr>
                <w:rFonts w:ascii="宋体" w:hAnsi="宋体" w:eastAsia="宋体"/>
                <w:kern w:val="0"/>
                <w:sz w:val="24"/>
              </w:rPr>
            </w:pPr>
            <w:r>
              <w:rPr>
                <w:rFonts w:hint="eastAsia" w:ascii="宋体" w:hAnsi="宋体" w:eastAsia="宋体"/>
                <w:kern w:val="0"/>
                <w:sz w:val="24"/>
              </w:rPr>
              <w:t>指标响应</w:t>
            </w:r>
          </w:p>
        </w:tc>
        <w:tc>
          <w:tcPr>
            <w:tcW w:w="608" w:type="pct"/>
            <w:noWrap w:val="0"/>
            <w:vAlign w:val="center"/>
          </w:tcPr>
          <w:p w14:paraId="5D7FE66A">
            <w:pPr>
              <w:widowControl/>
              <w:jc w:val="center"/>
              <w:rPr>
                <w:rFonts w:ascii="宋体" w:hAnsi="宋体" w:eastAsia="宋体"/>
                <w:kern w:val="0"/>
                <w:sz w:val="24"/>
              </w:rPr>
            </w:pPr>
            <w:r>
              <w:rPr>
                <w:rFonts w:ascii="宋体" w:hAnsi="宋体" w:eastAsia="宋体"/>
                <w:kern w:val="0"/>
                <w:sz w:val="24"/>
              </w:rPr>
              <w:t>33</w:t>
            </w:r>
            <w:r>
              <w:rPr>
                <w:rFonts w:hint="eastAsia" w:ascii="宋体" w:hAnsi="宋体" w:eastAsia="宋体"/>
                <w:kern w:val="0"/>
                <w:sz w:val="24"/>
              </w:rPr>
              <w:t>分</w:t>
            </w:r>
          </w:p>
        </w:tc>
        <w:tc>
          <w:tcPr>
            <w:tcW w:w="634" w:type="pct"/>
            <w:noWrap w:val="0"/>
            <w:vAlign w:val="center"/>
          </w:tcPr>
          <w:p w14:paraId="170B3CFD">
            <w:pPr>
              <w:widowControl/>
              <w:jc w:val="center"/>
              <w:rPr>
                <w:rFonts w:ascii="宋体" w:hAnsi="宋体" w:eastAsia="宋体"/>
                <w:kern w:val="0"/>
                <w:sz w:val="24"/>
              </w:rPr>
            </w:pPr>
            <w:r>
              <w:rPr>
                <w:rFonts w:hint="eastAsia" w:ascii="宋体" w:hAnsi="宋体" w:eastAsia="宋体"/>
                <w:kern w:val="0"/>
                <w:sz w:val="24"/>
              </w:rPr>
              <w:t>专家打分</w:t>
            </w:r>
          </w:p>
        </w:tc>
        <w:tc>
          <w:tcPr>
            <w:tcW w:w="2051" w:type="pct"/>
            <w:noWrap w:val="0"/>
            <w:vAlign w:val="center"/>
          </w:tcPr>
          <w:p w14:paraId="7B135ACB">
            <w:pPr>
              <w:widowControl/>
              <w:jc w:val="left"/>
              <w:rPr>
                <w:rFonts w:ascii="宋体" w:hAnsi="宋体" w:eastAsia="宋体"/>
                <w:kern w:val="0"/>
                <w:sz w:val="24"/>
              </w:rPr>
            </w:pPr>
            <w:r>
              <w:rPr>
                <w:rFonts w:hint="eastAsia" w:ascii="宋体" w:hAnsi="宋体" w:eastAsia="宋体"/>
                <w:kern w:val="0"/>
                <w:sz w:val="24"/>
              </w:rPr>
              <w:t>评标委员会根据各投标人提供的技术参数偏离表，对照招标要求的货物一览表配置技术参数或彩页资料进行比较，投标人所投产品完全满足招标文件技术要求的，得满分。带“</w:t>
            </w:r>
            <w:r>
              <w:rPr>
                <w:rFonts w:hint="eastAsia" w:ascii="宋体" w:hAnsi="宋体" w:eastAsia="宋体"/>
                <w:b/>
                <w:kern w:val="0"/>
                <w:sz w:val="24"/>
              </w:rPr>
              <w:t>▲</w:t>
            </w:r>
            <w:r>
              <w:rPr>
                <w:rFonts w:hint="eastAsia" w:ascii="宋体" w:hAnsi="宋体" w:eastAsia="宋体"/>
                <w:kern w:val="0"/>
                <w:sz w:val="24"/>
              </w:rPr>
              <w:t>”的参数，每负偏离一项扣</w:t>
            </w:r>
            <w:r>
              <w:rPr>
                <w:rFonts w:ascii="宋体" w:hAnsi="宋体" w:eastAsia="宋体"/>
                <w:kern w:val="0"/>
                <w:sz w:val="24"/>
              </w:rPr>
              <w:t>3</w:t>
            </w:r>
            <w:r>
              <w:rPr>
                <w:rFonts w:hint="eastAsia" w:ascii="宋体" w:hAnsi="宋体" w:eastAsia="宋体"/>
                <w:kern w:val="0"/>
                <w:sz w:val="24"/>
              </w:rPr>
              <w:t>分；其他参数每负偏离一项扣</w:t>
            </w:r>
            <w:r>
              <w:rPr>
                <w:rFonts w:ascii="宋体" w:hAnsi="宋体" w:eastAsia="宋体"/>
                <w:kern w:val="0"/>
                <w:sz w:val="24"/>
              </w:rPr>
              <w:t>2</w:t>
            </w:r>
            <w:r>
              <w:rPr>
                <w:rFonts w:hint="eastAsia" w:ascii="宋体" w:hAnsi="宋体" w:eastAsia="宋体"/>
                <w:kern w:val="0"/>
                <w:sz w:val="24"/>
              </w:rPr>
              <w:t>分。</w:t>
            </w:r>
          </w:p>
          <w:p w14:paraId="02893DCE">
            <w:pPr>
              <w:widowControl/>
              <w:jc w:val="left"/>
              <w:rPr>
                <w:rFonts w:ascii="宋体" w:hAnsi="宋体" w:eastAsia="宋体"/>
                <w:kern w:val="0"/>
                <w:sz w:val="24"/>
              </w:rPr>
            </w:pPr>
            <w:r>
              <w:rPr>
                <w:rFonts w:hint="eastAsia" w:ascii="宋体" w:hAnsi="宋体" w:eastAsia="宋体" w:cs="宋体"/>
                <w:sz w:val="24"/>
              </w:rPr>
              <w:t>备注：如采购需求中有明确提供的证明资料，则以采购需求中要求的为准，如采购需求中无明确证明材料的，则提供投标货物制造商公开发布的印刷资料（应与官方网站公示一样）或检测机构出具的检测报告为准或投标货物制造商对技术参数出具的证明（所有证明材料必须加盖投标货物制造商单位印章）；如所提供的技术支持资料为英文版，请同时提供中文简体字译本。</w:t>
            </w:r>
          </w:p>
        </w:tc>
      </w:tr>
      <w:tr w14:paraId="1EC7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371" w:type="pct"/>
            <w:vMerge w:val="continue"/>
            <w:noWrap w:val="0"/>
            <w:vAlign w:val="center"/>
          </w:tcPr>
          <w:p w14:paraId="28094F1E">
            <w:pPr>
              <w:widowControl/>
              <w:jc w:val="center"/>
              <w:rPr>
                <w:rFonts w:ascii="宋体" w:hAnsi="宋体" w:eastAsia="宋体"/>
                <w:kern w:val="0"/>
                <w:sz w:val="24"/>
              </w:rPr>
            </w:pPr>
          </w:p>
        </w:tc>
        <w:tc>
          <w:tcPr>
            <w:tcW w:w="389" w:type="pct"/>
            <w:noWrap w:val="0"/>
            <w:vAlign w:val="center"/>
          </w:tcPr>
          <w:p w14:paraId="6E8DDE60">
            <w:pPr>
              <w:widowControl/>
              <w:jc w:val="center"/>
              <w:rPr>
                <w:rFonts w:ascii="宋体" w:hAnsi="宋体" w:eastAsia="宋体"/>
                <w:kern w:val="0"/>
                <w:sz w:val="24"/>
              </w:rPr>
            </w:pPr>
            <w:r>
              <w:rPr>
                <w:rFonts w:hint="eastAsia" w:ascii="宋体" w:hAnsi="宋体" w:eastAsia="宋体"/>
                <w:kern w:val="0"/>
                <w:sz w:val="24"/>
              </w:rPr>
              <w:t>3</w:t>
            </w:r>
          </w:p>
        </w:tc>
        <w:tc>
          <w:tcPr>
            <w:tcW w:w="943" w:type="pct"/>
            <w:noWrap w:val="0"/>
            <w:vAlign w:val="center"/>
          </w:tcPr>
          <w:p w14:paraId="27C1C86B">
            <w:pPr>
              <w:widowControl/>
              <w:jc w:val="left"/>
              <w:rPr>
                <w:rFonts w:ascii="宋体" w:hAnsi="宋体" w:eastAsia="宋体"/>
                <w:kern w:val="0"/>
                <w:sz w:val="24"/>
              </w:rPr>
            </w:pPr>
            <w:r>
              <w:rPr>
                <w:rFonts w:hint="eastAsia" w:ascii="宋体" w:hAnsi="宋体" w:eastAsia="宋体"/>
                <w:kern w:val="0"/>
                <w:sz w:val="24"/>
              </w:rPr>
              <w:t>车辆改装的技术水平</w:t>
            </w:r>
          </w:p>
        </w:tc>
        <w:tc>
          <w:tcPr>
            <w:tcW w:w="608" w:type="pct"/>
            <w:noWrap w:val="0"/>
            <w:vAlign w:val="center"/>
          </w:tcPr>
          <w:p w14:paraId="50DB5781">
            <w:pPr>
              <w:widowControl/>
              <w:jc w:val="center"/>
              <w:rPr>
                <w:rFonts w:ascii="宋体" w:hAnsi="宋体" w:eastAsia="宋体"/>
                <w:kern w:val="0"/>
                <w:sz w:val="24"/>
              </w:rPr>
            </w:pPr>
            <w:r>
              <w:rPr>
                <w:rFonts w:ascii="宋体" w:hAnsi="宋体" w:eastAsia="宋体"/>
                <w:kern w:val="0"/>
                <w:sz w:val="24"/>
              </w:rPr>
              <w:t>3</w:t>
            </w:r>
            <w:r>
              <w:rPr>
                <w:rFonts w:hint="eastAsia" w:ascii="宋体" w:hAnsi="宋体" w:eastAsia="宋体"/>
                <w:kern w:val="0"/>
                <w:sz w:val="24"/>
              </w:rPr>
              <w:t>分</w:t>
            </w:r>
          </w:p>
        </w:tc>
        <w:tc>
          <w:tcPr>
            <w:tcW w:w="634" w:type="pct"/>
            <w:noWrap w:val="0"/>
            <w:vAlign w:val="center"/>
          </w:tcPr>
          <w:p w14:paraId="76A7FB75">
            <w:pPr>
              <w:widowControl/>
              <w:jc w:val="center"/>
              <w:rPr>
                <w:rFonts w:ascii="宋体" w:hAnsi="宋体" w:eastAsia="宋体"/>
                <w:kern w:val="0"/>
                <w:sz w:val="24"/>
              </w:rPr>
            </w:pPr>
            <w:r>
              <w:rPr>
                <w:rFonts w:hint="eastAsia" w:ascii="宋体" w:hAnsi="宋体" w:eastAsia="宋体"/>
                <w:kern w:val="0"/>
                <w:sz w:val="24"/>
              </w:rPr>
              <w:t>专家打分</w:t>
            </w:r>
          </w:p>
        </w:tc>
        <w:tc>
          <w:tcPr>
            <w:tcW w:w="2051" w:type="pct"/>
            <w:noWrap w:val="0"/>
            <w:vAlign w:val="center"/>
          </w:tcPr>
          <w:p w14:paraId="59D3071B">
            <w:pPr>
              <w:widowControl/>
              <w:jc w:val="left"/>
              <w:rPr>
                <w:rFonts w:ascii="宋体" w:hAnsi="宋体" w:eastAsia="宋体"/>
                <w:kern w:val="0"/>
                <w:sz w:val="24"/>
              </w:rPr>
            </w:pPr>
            <w:r>
              <w:rPr>
                <w:rFonts w:hint="eastAsia" w:ascii="宋体" w:hAnsi="宋体" w:eastAsia="宋体"/>
                <w:kern w:val="0"/>
                <w:sz w:val="24"/>
              </w:rPr>
              <w:t>评标委员会根据提供改装技术方案、图纸、等资料对比评审打分：优</w:t>
            </w:r>
            <w:r>
              <w:rPr>
                <w:rFonts w:ascii="宋体" w:hAnsi="宋体" w:eastAsia="宋体"/>
                <w:kern w:val="0"/>
                <w:sz w:val="24"/>
              </w:rPr>
              <w:t>3</w:t>
            </w:r>
            <w:r>
              <w:rPr>
                <w:rFonts w:hint="eastAsia" w:ascii="宋体" w:hAnsi="宋体" w:eastAsia="宋体"/>
                <w:kern w:val="0"/>
                <w:sz w:val="24"/>
              </w:rPr>
              <w:t>分，良</w:t>
            </w:r>
            <w:r>
              <w:rPr>
                <w:rFonts w:ascii="宋体" w:hAnsi="宋体" w:eastAsia="宋体"/>
                <w:kern w:val="0"/>
                <w:sz w:val="24"/>
              </w:rPr>
              <w:t>2</w:t>
            </w:r>
            <w:r>
              <w:rPr>
                <w:rFonts w:hint="eastAsia" w:ascii="宋体" w:hAnsi="宋体" w:eastAsia="宋体"/>
                <w:kern w:val="0"/>
                <w:sz w:val="24"/>
              </w:rPr>
              <w:t>分，中1分，差0分。</w:t>
            </w:r>
          </w:p>
        </w:tc>
      </w:tr>
      <w:tr w14:paraId="5954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71" w:type="pct"/>
            <w:vMerge w:val="continue"/>
            <w:noWrap w:val="0"/>
            <w:vAlign w:val="center"/>
          </w:tcPr>
          <w:p w14:paraId="71C50E20">
            <w:pPr>
              <w:widowControl/>
              <w:jc w:val="center"/>
              <w:rPr>
                <w:rFonts w:ascii="宋体" w:hAnsi="宋体" w:eastAsia="宋体"/>
                <w:kern w:val="0"/>
                <w:sz w:val="24"/>
              </w:rPr>
            </w:pPr>
          </w:p>
        </w:tc>
        <w:tc>
          <w:tcPr>
            <w:tcW w:w="389" w:type="pct"/>
            <w:noWrap w:val="0"/>
            <w:vAlign w:val="center"/>
          </w:tcPr>
          <w:p w14:paraId="6AAEF51E">
            <w:pPr>
              <w:widowControl/>
              <w:jc w:val="center"/>
              <w:rPr>
                <w:rFonts w:ascii="宋体" w:hAnsi="宋体" w:eastAsia="宋体"/>
                <w:kern w:val="0"/>
                <w:sz w:val="24"/>
              </w:rPr>
            </w:pPr>
            <w:r>
              <w:rPr>
                <w:rFonts w:hint="eastAsia" w:ascii="宋体" w:hAnsi="宋体" w:eastAsia="宋体"/>
                <w:kern w:val="0"/>
                <w:sz w:val="24"/>
              </w:rPr>
              <w:t>4</w:t>
            </w:r>
          </w:p>
        </w:tc>
        <w:tc>
          <w:tcPr>
            <w:tcW w:w="943" w:type="pct"/>
            <w:noWrap w:val="0"/>
            <w:vAlign w:val="center"/>
          </w:tcPr>
          <w:p w14:paraId="2CE4EF99">
            <w:pPr>
              <w:widowControl/>
              <w:jc w:val="left"/>
              <w:rPr>
                <w:rFonts w:ascii="宋体" w:hAnsi="宋体" w:eastAsia="宋体"/>
                <w:kern w:val="0"/>
                <w:sz w:val="24"/>
              </w:rPr>
            </w:pPr>
            <w:r>
              <w:rPr>
                <w:rFonts w:hint="eastAsia" w:ascii="宋体" w:hAnsi="宋体" w:eastAsia="宋体"/>
                <w:kern w:val="0"/>
                <w:sz w:val="24"/>
              </w:rPr>
              <w:t>新材料、新技术的应用</w:t>
            </w:r>
          </w:p>
        </w:tc>
        <w:tc>
          <w:tcPr>
            <w:tcW w:w="608" w:type="pct"/>
            <w:noWrap w:val="0"/>
            <w:vAlign w:val="center"/>
          </w:tcPr>
          <w:p w14:paraId="3A92D4A2">
            <w:pPr>
              <w:widowControl/>
              <w:jc w:val="center"/>
              <w:rPr>
                <w:rFonts w:ascii="宋体" w:hAnsi="宋体" w:eastAsia="宋体"/>
                <w:kern w:val="0"/>
                <w:sz w:val="24"/>
              </w:rPr>
            </w:pPr>
            <w:r>
              <w:rPr>
                <w:rFonts w:ascii="宋体" w:hAnsi="宋体" w:eastAsia="宋体"/>
                <w:kern w:val="0"/>
                <w:sz w:val="24"/>
              </w:rPr>
              <w:t>3</w:t>
            </w:r>
            <w:r>
              <w:rPr>
                <w:rFonts w:hint="eastAsia" w:ascii="宋体" w:hAnsi="宋体" w:eastAsia="宋体"/>
                <w:kern w:val="0"/>
                <w:sz w:val="24"/>
              </w:rPr>
              <w:t>分</w:t>
            </w:r>
          </w:p>
        </w:tc>
        <w:tc>
          <w:tcPr>
            <w:tcW w:w="634" w:type="pct"/>
            <w:noWrap w:val="0"/>
            <w:vAlign w:val="center"/>
          </w:tcPr>
          <w:p w14:paraId="00FD0327">
            <w:pPr>
              <w:widowControl/>
              <w:jc w:val="center"/>
              <w:rPr>
                <w:rFonts w:ascii="宋体" w:hAnsi="宋体" w:eastAsia="宋体"/>
                <w:kern w:val="0"/>
                <w:sz w:val="24"/>
              </w:rPr>
            </w:pPr>
            <w:r>
              <w:rPr>
                <w:rFonts w:hint="eastAsia" w:ascii="宋体" w:hAnsi="宋体" w:eastAsia="宋体"/>
                <w:kern w:val="0"/>
                <w:sz w:val="24"/>
              </w:rPr>
              <w:t>专家打分</w:t>
            </w:r>
          </w:p>
        </w:tc>
        <w:tc>
          <w:tcPr>
            <w:tcW w:w="2051" w:type="pct"/>
            <w:noWrap w:val="0"/>
            <w:vAlign w:val="center"/>
          </w:tcPr>
          <w:p w14:paraId="61065C05">
            <w:pPr>
              <w:widowControl/>
              <w:jc w:val="left"/>
              <w:rPr>
                <w:rFonts w:ascii="宋体" w:hAnsi="宋体" w:eastAsia="宋体"/>
                <w:kern w:val="0"/>
                <w:sz w:val="24"/>
              </w:rPr>
            </w:pPr>
            <w:r>
              <w:rPr>
                <w:rFonts w:hint="eastAsia" w:ascii="宋体" w:hAnsi="宋体" w:eastAsia="宋体"/>
                <w:kern w:val="0"/>
                <w:sz w:val="24"/>
              </w:rPr>
              <w:t>评标委员会根据投标响应情况评审打分：优</w:t>
            </w:r>
            <w:r>
              <w:rPr>
                <w:rFonts w:ascii="宋体" w:hAnsi="宋体" w:eastAsia="宋体"/>
                <w:kern w:val="0"/>
                <w:sz w:val="24"/>
              </w:rPr>
              <w:t>3</w:t>
            </w:r>
            <w:r>
              <w:rPr>
                <w:rFonts w:hint="eastAsia" w:ascii="宋体" w:hAnsi="宋体" w:eastAsia="宋体"/>
                <w:kern w:val="0"/>
                <w:sz w:val="24"/>
              </w:rPr>
              <w:t>分，良</w:t>
            </w:r>
            <w:r>
              <w:rPr>
                <w:rFonts w:ascii="宋体" w:hAnsi="宋体" w:eastAsia="宋体"/>
                <w:kern w:val="0"/>
                <w:sz w:val="24"/>
              </w:rPr>
              <w:t>2</w:t>
            </w:r>
            <w:r>
              <w:rPr>
                <w:rFonts w:hint="eastAsia" w:ascii="宋体" w:hAnsi="宋体" w:eastAsia="宋体"/>
                <w:kern w:val="0"/>
                <w:sz w:val="24"/>
              </w:rPr>
              <w:t>分，中1分，差0分。</w:t>
            </w:r>
          </w:p>
        </w:tc>
      </w:tr>
      <w:tr w14:paraId="6244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71" w:type="pct"/>
            <w:vMerge w:val="continue"/>
            <w:noWrap w:val="0"/>
            <w:vAlign w:val="center"/>
          </w:tcPr>
          <w:p w14:paraId="519BCF9A">
            <w:pPr>
              <w:widowControl/>
              <w:jc w:val="center"/>
              <w:rPr>
                <w:rFonts w:ascii="宋体" w:hAnsi="宋体" w:eastAsia="宋体"/>
                <w:kern w:val="0"/>
                <w:sz w:val="24"/>
              </w:rPr>
            </w:pPr>
          </w:p>
        </w:tc>
        <w:tc>
          <w:tcPr>
            <w:tcW w:w="389" w:type="pct"/>
            <w:noWrap w:val="0"/>
            <w:vAlign w:val="center"/>
          </w:tcPr>
          <w:p w14:paraId="09D5C1B7">
            <w:pPr>
              <w:widowControl/>
              <w:jc w:val="center"/>
              <w:rPr>
                <w:rFonts w:ascii="宋体" w:hAnsi="宋体" w:eastAsia="宋体"/>
                <w:kern w:val="0"/>
                <w:sz w:val="24"/>
              </w:rPr>
            </w:pPr>
            <w:r>
              <w:rPr>
                <w:rFonts w:ascii="宋体" w:hAnsi="宋体" w:eastAsia="宋体"/>
                <w:kern w:val="0"/>
                <w:sz w:val="24"/>
              </w:rPr>
              <w:t>5</w:t>
            </w:r>
          </w:p>
        </w:tc>
        <w:tc>
          <w:tcPr>
            <w:tcW w:w="943" w:type="pct"/>
            <w:noWrap w:val="0"/>
            <w:vAlign w:val="center"/>
          </w:tcPr>
          <w:p w14:paraId="76CD1C0C">
            <w:pPr>
              <w:widowControl/>
              <w:jc w:val="left"/>
              <w:rPr>
                <w:rFonts w:ascii="宋体" w:hAnsi="宋体" w:eastAsia="宋体"/>
                <w:kern w:val="0"/>
                <w:sz w:val="24"/>
              </w:rPr>
            </w:pPr>
            <w:r>
              <w:rPr>
                <w:rFonts w:hint="eastAsia" w:ascii="宋体" w:hAnsi="宋体" w:eastAsia="宋体"/>
                <w:kern w:val="0"/>
                <w:sz w:val="24"/>
              </w:rPr>
              <w:t>车载设施的适用性及耐用性、可维护性</w:t>
            </w:r>
          </w:p>
        </w:tc>
        <w:tc>
          <w:tcPr>
            <w:tcW w:w="608" w:type="pct"/>
            <w:noWrap w:val="0"/>
            <w:vAlign w:val="center"/>
          </w:tcPr>
          <w:p w14:paraId="64B1655F">
            <w:pPr>
              <w:widowControl/>
              <w:jc w:val="center"/>
              <w:rPr>
                <w:rFonts w:ascii="宋体" w:hAnsi="宋体" w:eastAsia="宋体"/>
                <w:kern w:val="0"/>
                <w:sz w:val="24"/>
              </w:rPr>
            </w:pPr>
            <w:r>
              <w:rPr>
                <w:rFonts w:ascii="宋体" w:hAnsi="宋体" w:eastAsia="宋体"/>
                <w:kern w:val="0"/>
                <w:sz w:val="24"/>
              </w:rPr>
              <w:t>3</w:t>
            </w:r>
            <w:r>
              <w:rPr>
                <w:rFonts w:hint="eastAsia" w:ascii="宋体" w:hAnsi="宋体" w:eastAsia="宋体"/>
                <w:kern w:val="0"/>
                <w:sz w:val="24"/>
              </w:rPr>
              <w:t>分</w:t>
            </w:r>
          </w:p>
        </w:tc>
        <w:tc>
          <w:tcPr>
            <w:tcW w:w="634" w:type="pct"/>
            <w:noWrap w:val="0"/>
            <w:vAlign w:val="center"/>
          </w:tcPr>
          <w:p w14:paraId="4B37BB7E">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center"/>
          </w:tcPr>
          <w:p w14:paraId="154957B1">
            <w:pPr>
              <w:widowControl/>
              <w:jc w:val="left"/>
              <w:rPr>
                <w:rFonts w:ascii="宋体" w:hAnsi="宋体" w:eastAsia="宋体"/>
                <w:kern w:val="0"/>
                <w:sz w:val="24"/>
              </w:rPr>
            </w:pPr>
            <w:r>
              <w:rPr>
                <w:rFonts w:hint="eastAsia" w:ascii="宋体" w:hAnsi="宋体" w:eastAsia="宋体"/>
                <w:kern w:val="0"/>
                <w:sz w:val="24"/>
              </w:rPr>
              <w:t>评标委员会根据投标响应情况评审打分：优</w:t>
            </w:r>
            <w:r>
              <w:rPr>
                <w:rFonts w:ascii="宋体" w:hAnsi="宋体" w:eastAsia="宋体"/>
                <w:kern w:val="0"/>
                <w:sz w:val="24"/>
              </w:rPr>
              <w:t>3</w:t>
            </w:r>
            <w:r>
              <w:rPr>
                <w:rFonts w:hint="eastAsia" w:ascii="宋体" w:hAnsi="宋体" w:eastAsia="宋体"/>
                <w:kern w:val="0"/>
                <w:sz w:val="24"/>
              </w:rPr>
              <w:t>分，良</w:t>
            </w:r>
            <w:r>
              <w:rPr>
                <w:rFonts w:ascii="宋体" w:hAnsi="宋体" w:eastAsia="宋体"/>
                <w:kern w:val="0"/>
                <w:sz w:val="24"/>
              </w:rPr>
              <w:t>2</w:t>
            </w:r>
            <w:r>
              <w:rPr>
                <w:rFonts w:hint="eastAsia" w:ascii="宋体" w:hAnsi="宋体" w:eastAsia="宋体"/>
                <w:kern w:val="0"/>
                <w:sz w:val="24"/>
              </w:rPr>
              <w:t>分，中1分，差0分</w:t>
            </w:r>
          </w:p>
        </w:tc>
      </w:tr>
      <w:tr w14:paraId="7DBF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1C4C8C61">
            <w:pPr>
              <w:widowControl/>
              <w:jc w:val="center"/>
              <w:rPr>
                <w:rFonts w:ascii="宋体" w:hAnsi="宋体" w:eastAsia="宋体"/>
                <w:kern w:val="0"/>
                <w:sz w:val="24"/>
              </w:rPr>
            </w:pPr>
            <w:r>
              <w:rPr>
                <w:rFonts w:ascii="宋体" w:hAnsi="宋体" w:eastAsia="宋体"/>
                <w:kern w:val="0"/>
                <w:sz w:val="24"/>
              </w:rPr>
              <w:t>3</w:t>
            </w:r>
          </w:p>
        </w:tc>
        <w:tc>
          <w:tcPr>
            <w:tcW w:w="2576" w:type="pct"/>
            <w:gridSpan w:val="4"/>
            <w:noWrap w:val="0"/>
            <w:vAlign w:val="center"/>
          </w:tcPr>
          <w:p w14:paraId="59518D42">
            <w:pPr>
              <w:widowControl/>
              <w:jc w:val="center"/>
              <w:rPr>
                <w:rFonts w:ascii="宋体" w:hAnsi="宋体" w:eastAsia="宋体"/>
                <w:kern w:val="0"/>
                <w:sz w:val="24"/>
              </w:rPr>
            </w:pPr>
            <w:r>
              <w:rPr>
                <w:rFonts w:hint="eastAsia" w:ascii="宋体" w:hAnsi="宋体" w:eastAsia="宋体"/>
                <w:kern w:val="0"/>
                <w:sz w:val="24"/>
              </w:rPr>
              <w:t>商务部分</w:t>
            </w:r>
          </w:p>
        </w:tc>
        <w:tc>
          <w:tcPr>
            <w:tcW w:w="2051" w:type="pct"/>
            <w:noWrap w:val="0"/>
            <w:vAlign w:val="center"/>
          </w:tcPr>
          <w:p w14:paraId="7B78CCCF">
            <w:pPr>
              <w:widowControl/>
              <w:jc w:val="center"/>
              <w:rPr>
                <w:rFonts w:ascii="宋体" w:hAnsi="宋体" w:eastAsia="宋体"/>
                <w:kern w:val="0"/>
                <w:sz w:val="24"/>
              </w:rPr>
            </w:pPr>
            <w:r>
              <w:rPr>
                <w:rFonts w:ascii="宋体" w:hAnsi="宋体" w:eastAsia="宋体"/>
                <w:kern w:val="0"/>
                <w:sz w:val="24"/>
              </w:rPr>
              <w:t>25</w:t>
            </w:r>
          </w:p>
        </w:tc>
      </w:tr>
      <w:tr w14:paraId="7951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noWrap w:val="0"/>
            <w:vAlign w:val="center"/>
          </w:tcPr>
          <w:p w14:paraId="5C7C5F54">
            <w:pPr>
              <w:widowControl/>
              <w:jc w:val="center"/>
              <w:rPr>
                <w:rFonts w:ascii="宋体" w:hAnsi="宋体" w:eastAsia="宋体"/>
                <w:kern w:val="0"/>
                <w:sz w:val="24"/>
              </w:rPr>
            </w:pPr>
          </w:p>
        </w:tc>
        <w:tc>
          <w:tcPr>
            <w:tcW w:w="389" w:type="pct"/>
            <w:noWrap w:val="0"/>
            <w:vAlign w:val="center"/>
          </w:tcPr>
          <w:p w14:paraId="0B25CF98">
            <w:pPr>
              <w:widowControl/>
              <w:jc w:val="center"/>
              <w:rPr>
                <w:rFonts w:ascii="宋体" w:hAnsi="宋体" w:eastAsia="宋体"/>
                <w:kern w:val="0"/>
                <w:sz w:val="24"/>
              </w:rPr>
            </w:pPr>
            <w:r>
              <w:rPr>
                <w:rFonts w:hint="eastAsia" w:ascii="宋体" w:hAnsi="宋体" w:eastAsia="宋体"/>
                <w:kern w:val="0"/>
                <w:sz w:val="24"/>
              </w:rPr>
              <w:t>序号</w:t>
            </w:r>
          </w:p>
        </w:tc>
        <w:tc>
          <w:tcPr>
            <w:tcW w:w="943" w:type="pct"/>
            <w:noWrap w:val="0"/>
            <w:vAlign w:val="center"/>
          </w:tcPr>
          <w:p w14:paraId="70AB4A1C">
            <w:pPr>
              <w:widowControl/>
              <w:jc w:val="center"/>
              <w:rPr>
                <w:rFonts w:ascii="宋体" w:hAnsi="宋体" w:eastAsia="宋体"/>
                <w:kern w:val="0"/>
                <w:sz w:val="24"/>
              </w:rPr>
            </w:pPr>
            <w:r>
              <w:rPr>
                <w:rFonts w:hint="eastAsia" w:ascii="宋体" w:hAnsi="宋体" w:eastAsia="宋体"/>
                <w:kern w:val="0"/>
                <w:sz w:val="24"/>
              </w:rPr>
              <w:t>评分因素</w:t>
            </w:r>
          </w:p>
        </w:tc>
        <w:tc>
          <w:tcPr>
            <w:tcW w:w="608" w:type="pct"/>
            <w:noWrap w:val="0"/>
            <w:vAlign w:val="center"/>
          </w:tcPr>
          <w:p w14:paraId="0149A42C">
            <w:pPr>
              <w:widowControl/>
              <w:jc w:val="center"/>
              <w:rPr>
                <w:rFonts w:ascii="宋体" w:hAnsi="宋体" w:eastAsia="宋体"/>
                <w:kern w:val="0"/>
                <w:sz w:val="24"/>
              </w:rPr>
            </w:pPr>
            <w:r>
              <w:rPr>
                <w:rFonts w:hint="eastAsia" w:ascii="宋体" w:hAnsi="宋体" w:eastAsia="宋体"/>
                <w:kern w:val="0"/>
                <w:sz w:val="24"/>
              </w:rPr>
              <w:t>权重</w:t>
            </w:r>
          </w:p>
        </w:tc>
        <w:tc>
          <w:tcPr>
            <w:tcW w:w="634" w:type="pct"/>
            <w:noWrap w:val="0"/>
            <w:vAlign w:val="center"/>
          </w:tcPr>
          <w:p w14:paraId="2676ABCB">
            <w:pPr>
              <w:widowControl/>
              <w:jc w:val="center"/>
              <w:rPr>
                <w:rFonts w:ascii="宋体" w:hAnsi="宋体" w:eastAsia="宋体"/>
                <w:kern w:val="0"/>
                <w:sz w:val="24"/>
              </w:rPr>
            </w:pPr>
            <w:r>
              <w:rPr>
                <w:rFonts w:hint="eastAsia" w:ascii="宋体" w:hAnsi="宋体" w:eastAsia="宋体"/>
                <w:kern w:val="0"/>
                <w:sz w:val="24"/>
              </w:rPr>
              <w:t>评分方式</w:t>
            </w:r>
          </w:p>
        </w:tc>
        <w:tc>
          <w:tcPr>
            <w:tcW w:w="2051" w:type="pct"/>
            <w:noWrap w:val="0"/>
            <w:vAlign w:val="center"/>
          </w:tcPr>
          <w:p w14:paraId="6587FC95">
            <w:pPr>
              <w:widowControl/>
              <w:jc w:val="center"/>
              <w:rPr>
                <w:rFonts w:ascii="宋体" w:hAnsi="宋体" w:eastAsia="宋体"/>
                <w:kern w:val="0"/>
                <w:sz w:val="24"/>
              </w:rPr>
            </w:pPr>
            <w:r>
              <w:rPr>
                <w:rFonts w:hint="eastAsia" w:ascii="宋体" w:hAnsi="宋体" w:eastAsia="宋体"/>
                <w:kern w:val="0"/>
                <w:sz w:val="24"/>
              </w:rPr>
              <w:t>评分准则</w:t>
            </w:r>
          </w:p>
        </w:tc>
      </w:tr>
      <w:tr w14:paraId="16C5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71" w:type="pct"/>
            <w:vMerge w:val="continue"/>
            <w:noWrap w:val="0"/>
            <w:vAlign w:val="center"/>
          </w:tcPr>
          <w:p w14:paraId="1111AF38">
            <w:pPr>
              <w:widowControl/>
              <w:jc w:val="center"/>
              <w:rPr>
                <w:rFonts w:ascii="宋体" w:hAnsi="宋体" w:eastAsia="宋体"/>
                <w:kern w:val="0"/>
                <w:sz w:val="24"/>
              </w:rPr>
            </w:pPr>
          </w:p>
        </w:tc>
        <w:tc>
          <w:tcPr>
            <w:tcW w:w="389" w:type="pct"/>
            <w:noWrap w:val="0"/>
            <w:vAlign w:val="center"/>
          </w:tcPr>
          <w:p w14:paraId="0D6C06F9">
            <w:pPr>
              <w:widowControl/>
              <w:jc w:val="center"/>
              <w:rPr>
                <w:rFonts w:ascii="宋体" w:hAnsi="宋体" w:eastAsia="宋体"/>
                <w:kern w:val="0"/>
                <w:sz w:val="24"/>
              </w:rPr>
            </w:pPr>
            <w:r>
              <w:rPr>
                <w:rFonts w:hint="eastAsia" w:ascii="宋体" w:hAnsi="宋体" w:eastAsia="宋体"/>
                <w:kern w:val="0"/>
                <w:sz w:val="24"/>
              </w:rPr>
              <w:t>1</w:t>
            </w:r>
          </w:p>
        </w:tc>
        <w:tc>
          <w:tcPr>
            <w:tcW w:w="943" w:type="pct"/>
            <w:noWrap w:val="0"/>
            <w:vAlign w:val="center"/>
          </w:tcPr>
          <w:p w14:paraId="19D7DD08">
            <w:pPr>
              <w:widowControl/>
              <w:jc w:val="left"/>
              <w:rPr>
                <w:rFonts w:ascii="宋体" w:hAnsi="宋体" w:eastAsia="宋体"/>
                <w:kern w:val="0"/>
                <w:sz w:val="24"/>
              </w:rPr>
            </w:pPr>
            <w:r>
              <w:rPr>
                <w:rFonts w:ascii="宋体" w:hAnsi="宋体" w:eastAsia="宋体"/>
              </w:rPr>
              <w:t>项目实施方案</w:t>
            </w:r>
          </w:p>
        </w:tc>
        <w:tc>
          <w:tcPr>
            <w:tcW w:w="608" w:type="pct"/>
            <w:noWrap w:val="0"/>
            <w:vAlign w:val="center"/>
          </w:tcPr>
          <w:p w14:paraId="5B82B162">
            <w:pPr>
              <w:widowControl/>
              <w:jc w:val="center"/>
              <w:rPr>
                <w:rFonts w:ascii="宋体" w:hAnsi="宋体" w:eastAsia="宋体"/>
                <w:kern w:val="0"/>
                <w:sz w:val="24"/>
              </w:rPr>
            </w:pPr>
            <w:r>
              <w:rPr>
                <w:rFonts w:hint="eastAsia" w:ascii="宋体" w:hAnsi="宋体"/>
                <w:kern w:val="0"/>
                <w:sz w:val="24"/>
                <w:lang w:val="en-US" w:eastAsia="zh-CN"/>
              </w:rPr>
              <w:t>8</w:t>
            </w:r>
            <w:r>
              <w:rPr>
                <w:rFonts w:hint="eastAsia" w:ascii="宋体" w:hAnsi="宋体" w:eastAsia="宋体"/>
                <w:kern w:val="0"/>
                <w:sz w:val="24"/>
              </w:rPr>
              <w:t>分</w:t>
            </w:r>
          </w:p>
        </w:tc>
        <w:tc>
          <w:tcPr>
            <w:tcW w:w="634" w:type="pct"/>
            <w:noWrap w:val="0"/>
            <w:vAlign w:val="center"/>
          </w:tcPr>
          <w:p w14:paraId="31FF0FA9">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top"/>
          </w:tcPr>
          <w:p w14:paraId="4DDB62B5">
            <w:pPr>
              <w:widowControl/>
              <w:jc w:val="left"/>
              <w:rPr>
                <w:rFonts w:ascii="宋体" w:hAnsi="宋体" w:eastAsia="宋体"/>
                <w:kern w:val="0"/>
                <w:sz w:val="24"/>
              </w:rPr>
            </w:pPr>
            <w:r>
              <w:rPr>
                <w:rFonts w:ascii="宋体" w:hAnsi="宋体" w:eastAsia="宋体"/>
                <w:kern w:val="0"/>
                <w:sz w:val="24"/>
              </w:rPr>
              <w:t>对供应商项目实施方案（包括安装调试、培训计划、供货时间）安排进行评审： 1、安装调试方案具体合理、培训计划全面、供货时间安排合理， 得</w:t>
            </w:r>
            <w:r>
              <w:rPr>
                <w:rFonts w:hint="eastAsia" w:ascii="宋体" w:hAnsi="宋体"/>
                <w:kern w:val="0"/>
                <w:sz w:val="24"/>
                <w:lang w:val="en-US" w:eastAsia="zh-CN"/>
              </w:rPr>
              <w:t>8</w:t>
            </w:r>
            <w:r>
              <w:rPr>
                <w:rFonts w:ascii="宋体" w:hAnsi="宋体" w:eastAsia="宋体"/>
                <w:kern w:val="0"/>
                <w:sz w:val="24"/>
              </w:rPr>
              <w:t>分； 2、安装调试方案较为具体合理、培训计划较为全面、供货时间安排具有合理性，得</w:t>
            </w:r>
            <w:r>
              <w:rPr>
                <w:rFonts w:hint="eastAsia" w:ascii="宋体" w:hAnsi="宋体"/>
                <w:kern w:val="0"/>
                <w:sz w:val="24"/>
                <w:lang w:val="en-US" w:eastAsia="zh-CN"/>
              </w:rPr>
              <w:t>4</w:t>
            </w:r>
            <w:r>
              <w:rPr>
                <w:rFonts w:ascii="宋体" w:hAnsi="宋体" w:eastAsia="宋体"/>
                <w:kern w:val="0"/>
                <w:sz w:val="24"/>
              </w:rPr>
              <w:t>分； 3、安装调试方案基本合理、培训计划较简单、供货时间安排基本合理，得2分； 4、安装调试方案一般、培训计划简单、供货时间安排欠合理，得1分。注：不提供的不得分。</w:t>
            </w:r>
          </w:p>
        </w:tc>
      </w:tr>
      <w:tr w14:paraId="6686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shd w:val="clear" w:color="auto" w:fill="auto"/>
            <w:noWrap w:val="0"/>
            <w:vAlign w:val="center"/>
          </w:tcPr>
          <w:p w14:paraId="6D2E52E6">
            <w:pPr>
              <w:widowControl/>
              <w:jc w:val="center"/>
              <w:rPr>
                <w:rFonts w:ascii="宋体" w:hAnsi="宋体" w:eastAsia="宋体"/>
                <w:kern w:val="0"/>
                <w:sz w:val="24"/>
              </w:rPr>
            </w:pPr>
          </w:p>
        </w:tc>
        <w:tc>
          <w:tcPr>
            <w:tcW w:w="389" w:type="pct"/>
            <w:shd w:val="clear" w:color="auto" w:fill="auto"/>
            <w:noWrap w:val="0"/>
            <w:vAlign w:val="center"/>
          </w:tcPr>
          <w:p w14:paraId="76C7880B">
            <w:pPr>
              <w:widowControl/>
              <w:jc w:val="center"/>
              <w:rPr>
                <w:rFonts w:ascii="宋体" w:hAnsi="宋体" w:eastAsia="宋体"/>
                <w:kern w:val="0"/>
                <w:sz w:val="24"/>
              </w:rPr>
            </w:pPr>
            <w:r>
              <w:rPr>
                <w:rFonts w:hint="eastAsia" w:ascii="宋体" w:hAnsi="宋体" w:eastAsia="宋体"/>
                <w:kern w:val="0"/>
                <w:sz w:val="24"/>
              </w:rPr>
              <w:t>2</w:t>
            </w:r>
          </w:p>
        </w:tc>
        <w:tc>
          <w:tcPr>
            <w:tcW w:w="943" w:type="pct"/>
            <w:shd w:val="clear" w:color="auto" w:fill="auto"/>
            <w:noWrap w:val="0"/>
            <w:vAlign w:val="center"/>
          </w:tcPr>
          <w:p w14:paraId="079020CE">
            <w:pPr>
              <w:widowControl/>
              <w:jc w:val="left"/>
              <w:rPr>
                <w:rFonts w:ascii="宋体" w:hAnsi="宋体" w:eastAsia="宋体"/>
                <w:kern w:val="0"/>
                <w:sz w:val="24"/>
              </w:rPr>
            </w:pPr>
            <w:r>
              <w:rPr>
                <w:rFonts w:hint="eastAsia" w:ascii="宋体" w:hAnsi="宋体" w:eastAsia="宋体"/>
                <w:kern w:val="0"/>
                <w:sz w:val="24"/>
              </w:rPr>
              <w:t>类似项目经验</w:t>
            </w:r>
          </w:p>
          <w:p w14:paraId="5C288F13">
            <w:pPr>
              <w:widowControl/>
              <w:jc w:val="left"/>
              <w:rPr>
                <w:rFonts w:ascii="宋体" w:hAnsi="宋体" w:eastAsia="宋体"/>
                <w:kern w:val="0"/>
                <w:sz w:val="24"/>
              </w:rPr>
            </w:pPr>
            <w:r>
              <w:rPr>
                <w:rFonts w:hint="eastAsia" w:ascii="宋体" w:hAnsi="宋体" w:eastAsia="宋体"/>
                <w:kern w:val="0"/>
                <w:sz w:val="24"/>
              </w:rPr>
              <w:t>（201</w:t>
            </w:r>
            <w:r>
              <w:rPr>
                <w:rFonts w:ascii="宋体" w:hAnsi="宋体" w:eastAsia="宋体"/>
                <w:kern w:val="0"/>
                <w:sz w:val="24"/>
              </w:rPr>
              <w:t>8</w:t>
            </w:r>
            <w:r>
              <w:rPr>
                <w:rFonts w:hint="eastAsia" w:ascii="宋体" w:hAnsi="宋体" w:eastAsia="宋体"/>
                <w:kern w:val="0"/>
                <w:sz w:val="24"/>
              </w:rPr>
              <w:t>年以来）</w:t>
            </w:r>
          </w:p>
        </w:tc>
        <w:tc>
          <w:tcPr>
            <w:tcW w:w="608" w:type="pct"/>
            <w:shd w:val="clear" w:color="auto" w:fill="auto"/>
            <w:noWrap w:val="0"/>
            <w:vAlign w:val="center"/>
          </w:tcPr>
          <w:p w14:paraId="546DC947">
            <w:pPr>
              <w:widowControl/>
              <w:jc w:val="center"/>
              <w:rPr>
                <w:rFonts w:ascii="宋体" w:hAnsi="宋体" w:eastAsia="宋体"/>
                <w:kern w:val="0"/>
                <w:sz w:val="24"/>
              </w:rPr>
            </w:pPr>
            <w:r>
              <w:rPr>
                <w:rFonts w:hint="eastAsia" w:ascii="宋体" w:hAnsi="宋体"/>
                <w:kern w:val="0"/>
                <w:sz w:val="24"/>
                <w:lang w:val="en-US" w:eastAsia="zh-CN"/>
              </w:rPr>
              <w:t>3</w:t>
            </w:r>
            <w:r>
              <w:rPr>
                <w:rFonts w:hint="eastAsia" w:ascii="宋体" w:hAnsi="宋体" w:eastAsia="宋体"/>
                <w:kern w:val="0"/>
                <w:sz w:val="24"/>
              </w:rPr>
              <w:t>分</w:t>
            </w:r>
          </w:p>
        </w:tc>
        <w:tc>
          <w:tcPr>
            <w:tcW w:w="634" w:type="pct"/>
            <w:shd w:val="clear" w:color="auto" w:fill="auto"/>
            <w:noWrap w:val="0"/>
            <w:vAlign w:val="center"/>
          </w:tcPr>
          <w:p w14:paraId="3E719A81">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shd w:val="clear" w:color="auto" w:fill="auto"/>
            <w:noWrap w:val="0"/>
            <w:vAlign w:val="top"/>
          </w:tcPr>
          <w:p w14:paraId="6642244A">
            <w:pPr>
              <w:widowControl/>
              <w:jc w:val="left"/>
              <w:rPr>
                <w:rFonts w:ascii="宋体" w:hAnsi="宋体" w:eastAsia="宋体"/>
                <w:kern w:val="0"/>
                <w:sz w:val="24"/>
              </w:rPr>
            </w:pPr>
            <w:r>
              <w:rPr>
                <w:rFonts w:hint="eastAsia" w:ascii="宋体" w:hAnsi="宋体" w:eastAsia="宋体"/>
                <w:kern w:val="0"/>
                <w:sz w:val="24"/>
              </w:rPr>
              <w:t>每提供一项同类项目指合同清单中至少包含核心产品</w:t>
            </w:r>
            <w:r>
              <w:rPr>
                <w:rFonts w:ascii="宋体" w:hAnsi="宋体" w:eastAsia="宋体"/>
                <w:kern w:val="0"/>
                <w:sz w:val="24"/>
              </w:rPr>
              <w:t>/主要标的的项目，每有一项得</w:t>
            </w:r>
            <w:r>
              <w:rPr>
                <w:rFonts w:hint="eastAsia" w:ascii="宋体" w:hAnsi="宋体"/>
                <w:kern w:val="0"/>
                <w:sz w:val="24"/>
                <w:lang w:val="en-US" w:eastAsia="zh-CN"/>
              </w:rPr>
              <w:t>1</w:t>
            </w:r>
            <w:r>
              <w:rPr>
                <w:rFonts w:ascii="宋体" w:hAnsi="宋体" w:eastAsia="宋体"/>
                <w:kern w:val="0"/>
                <w:sz w:val="24"/>
              </w:rPr>
              <w:t>分，本项最高得</w:t>
            </w:r>
            <w:r>
              <w:rPr>
                <w:rFonts w:hint="eastAsia" w:ascii="宋体" w:hAnsi="宋体"/>
                <w:kern w:val="0"/>
                <w:sz w:val="24"/>
                <w:lang w:val="en-US" w:eastAsia="zh-CN"/>
              </w:rPr>
              <w:t>3</w:t>
            </w:r>
            <w:r>
              <w:rPr>
                <w:rFonts w:ascii="宋体" w:hAnsi="宋体" w:eastAsia="宋体"/>
                <w:kern w:val="0"/>
                <w:sz w:val="24"/>
              </w:rPr>
              <w:t>分。</w:t>
            </w:r>
          </w:p>
          <w:p w14:paraId="0FA8BC50">
            <w:pPr>
              <w:widowControl/>
              <w:jc w:val="left"/>
              <w:rPr>
                <w:rFonts w:hint="eastAsia" w:ascii="宋体" w:hAnsi="宋体" w:eastAsia="宋体"/>
                <w:kern w:val="0"/>
                <w:sz w:val="24"/>
              </w:rPr>
            </w:pPr>
            <w:r>
              <w:rPr>
                <w:rFonts w:hint="eastAsia" w:ascii="宋体" w:hAnsi="宋体" w:eastAsia="宋体"/>
                <w:kern w:val="0"/>
                <w:sz w:val="24"/>
              </w:rPr>
              <w:t>请附上合同关键页（含签订合同双方的单位名称、合同项目名称、合同清单、签订合同双方的落款盖章、签订日期的关键页）复印件作为同类业绩评价证明资料。</w:t>
            </w:r>
            <w:r>
              <w:rPr>
                <w:rFonts w:ascii="宋体" w:hAnsi="宋体" w:eastAsia="宋体"/>
                <w:kern w:val="0"/>
                <w:sz w:val="24"/>
              </w:rPr>
              <w:t>注：不提供的不得分。</w:t>
            </w:r>
          </w:p>
        </w:tc>
      </w:tr>
      <w:tr w14:paraId="3657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noWrap w:val="0"/>
            <w:vAlign w:val="center"/>
          </w:tcPr>
          <w:p w14:paraId="119DF031">
            <w:pPr>
              <w:widowControl/>
              <w:jc w:val="center"/>
              <w:rPr>
                <w:rFonts w:ascii="宋体" w:hAnsi="宋体" w:eastAsia="宋体"/>
                <w:kern w:val="0"/>
                <w:sz w:val="24"/>
              </w:rPr>
            </w:pPr>
          </w:p>
        </w:tc>
        <w:tc>
          <w:tcPr>
            <w:tcW w:w="389" w:type="pct"/>
            <w:noWrap w:val="0"/>
            <w:vAlign w:val="center"/>
          </w:tcPr>
          <w:p w14:paraId="339B44ED">
            <w:pPr>
              <w:widowControl/>
              <w:jc w:val="center"/>
              <w:rPr>
                <w:rFonts w:ascii="宋体" w:hAnsi="宋体" w:eastAsia="宋体"/>
                <w:kern w:val="0"/>
                <w:sz w:val="24"/>
              </w:rPr>
            </w:pPr>
            <w:r>
              <w:rPr>
                <w:rFonts w:ascii="宋体" w:hAnsi="宋体" w:eastAsia="宋体"/>
                <w:kern w:val="0"/>
                <w:sz w:val="24"/>
              </w:rPr>
              <w:t>3</w:t>
            </w:r>
          </w:p>
        </w:tc>
        <w:tc>
          <w:tcPr>
            <w:tcW w:w="943" w:type="pct"/>
            <w:noWrap w:val="0"/>
            <w:vAlign w:val="center"/>
          </w:tcPr>
          <w:p w14:paraId="6A7FC2A4">
            <w:pPr>
              <w:widowControl/>
              <w:jc w:val="left"/>
              <w:rPr>
                <w:rFonts w:ascii="宋体" w:hAnsi="宋体" w:eastAsia="宋体"/>
                <w:kern w:val="0"/>
                <w:sz w:val="24"/>
              </w:rPr>
            </w:pPr>
            <w:r>
              <w:rPr>
                <w:rFonts w:hint="eastAsia" w:ascii="宋体" w:hAnsi="宋体" w:eastAsia="宋体"/>
                <w:kern w:val="0"/>
                <w:sz w:val="24"/>
              </w:rPr>
              <w:t>服务方案</w:t>
            </w:r>
          </w:p>
        </w:tc>
        <w:tc>
          <w:tcPr>
            <w:tcW w:w="608" w:type="pct"/>
            <w:noWrap w:val="0"/>
            <w:vAlign w:val="center"/>
          </w:tcPr>
          <w:p w14:paraId="6F5C726E">
            <w:pPr>
              <w:widowControl/>
              <w:jc w:val="center"/>
              <w:rPr>
                <w:rFonts w:ascii="宋体" w:hAnsi="宋体" w:eastAsia="宋体"/>
                <w:kern w:val="0"/>
                <w:sz w:val="24"/>
              </w:rPr>
            </w:pPr>
            <w:r>
              <w:rPr>
                <w:rFonts w:hint="eastAsia" w:ascii="宋体" w:hAnsi="宋体"/>
                <w:kern w:val="0"/>
                <w:sz w:val="24"/>
                <w:lang w:val="en-US" w:eastAsia="zh-CN"/>
              </w:rPr>
              <w:t>8</w:t>
            </w:r>
            <w:r>
              <w:rPr>
                <w:rFonts w:hint="eastAsia" w:ascii="宋体" w:hAnsi="宋体" w:eastAsia="宋体"/>
                <w:kern w:val="0"/>
                <w:sz w:val="24"/>
              </w:rPr>
              <w:t>分</w:t>
            </w:r>
          </w:p>
        </w:tc>
        <w:tc>
          <w:tcPr>
            <w:tcW w:w="634" w:type="pct"/>
            <w:noWrap w:val="0"/>
            <w:vAlign w:val="center"/>
          </w:tcPr>
          <w:p w14:paraId="0469328A">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top"/>
          </w:tcPr>
          <w:p w14:paraId="798A2580">
            <w:pPr>
              <w:widowControl/>
              <w:jc w:val="left"/>
              <w:rPr>
                <w:rFonts w:ascii="宋体" w:hAnsi="宋体" w:eastAsia="宋体"/>
                <w:kern w:val="0"/>
                <w:sz w:val="24"/>
              </w:rPr>
            </w:pPr>
            <w:r>
              <w:rPr>
                <w:rFonts w:ascii="宋体" w:hAnsi="宋体" w:eastAsia="宋体"/>
                <w:kern w:val="0"/>
                <w:sz w:val="24"/>
              </w:rPr>
              <w:t>针对本项目的售后服务方案（包括但不限于售后服务承诺、保障措施、生产企业的技术支持、保修期、备品备件价格、维护保养及应急维修时间安 排等）进行综合评分： 1、方案详细具体，可行性、可操作性强，得</w:t>
            </w:r>
            <w:r>
              <w:rPr>
                <w:rFonts w:hint="eastAsia" w:ascii="宋体" w:hAnsi="宋体"/>
                <w:kern w:val="0"/>
                <w:sz w:val="24"/>
                <w:lang w:val="en-US" w:eastAsia="zh-CN"/>
              </w:rPr>
              <w:t>8</w:t>
            </w:r>
            <w:r>
              <w:rPr>
                <w:rFonts w:ascii="宋体" w:hAnsi="宋体" w:eastAsia="宋体"/>
                <w:kern w:val="0"/>
                <w:sz w:val="24"/>
              </w:rPr>
              <w:t>分； 2、方案较为详细，具有可行性、可操作性较强，得</w:t>
            </w:r>
            <w:r>
              <w:rPr>
                <w:rFonts w:hint="eastAsia" w:ascii="宋体" w:hAnsi="宋体"/>
                <w:kern w:val="0"/>
                <w:sz w:val="24"/>
                <w:lang w:val="en-US" w:eastAsia="zh-CN"/>
              </w:rPr>
              <w:t>4</w:t>
            </w:r>
            <w:r>
              <w:rPr>
                <w:rFonts w:ascii="宋体" w:hAnsi="宋体" w:eastAsia="宋体"/>
                <w:kern w:val="0"/>
                <w:sz w:val="24"/>
              </w:rPr>
              <w:t>分； 3、方案简单，具有一定的可行性、可操作性一般，得1分。 注：不提供的不得分。</w:t>
            </w:r>
          </w:p>
        </w:tc>
      </w:tr>
      <w:tr w14:paraId="4D8B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71" w:type="pct"/>
            <w:vMerge w:val="continue"/>
            <w:noWrap w:val="0"/>
            <w:vAlign w:val="center"/>
          </w:tcPr>
          <w:p w14:paraId="22163C96">
            <w:pPr>
              <w:widowControl/>
              <w:jc w:val="center"/>
              <w:rPr>
                <w:rFonts w:ascii="宋体" w:hAnsi="宋体" w:eastAsia="宋体"/>
                <w:kern w:val="0"/>
                <w:sz w:val="24"/>
              </w:rPr>
            </w:pPr>
          </w:p>
        </w:tc>
        <w:tc>
          <w:tcPr>
            <w:tcW w:w="389" w:type="pct"/>
            <w:noWrap w:val="0"/>
            <w:vAlign w:val="center"/>
          </w:tcPr>
          <w:p w14:paraId="46CCF582">
            <w:pPr>
              <w:widowControl/>
              <w:jc w:val="center"/>
              <w:rPr>
                <w:rFonts w:hint="eastAsia" w:ascii="宋体" w:hAnsi="宋体" w:eastAsia="宋体"/>
                <w:kern w:val="0"/>
                <w:sz w:val="24"/>
                <w:lang w:val="en-US" w:eastAsia="zh-CN"/>
              </w:rPr>
            </w:pPr>
            <w:r>
              <w:rPr>
                <w:rFonts w:hint="eastAsia" w:ascii="宋体" w:hAnsi="宋体"/>
                <w:kern w:val="0"/>
                <w:sz w:val="24"/>
                <w:lang w:val="en-US" w:eastAsia="zh-CN"/>
              </w:rPr>
              <w:t>4</w:t>
            </w:r>
          </w:p>
        </w:tc>
        <w:tc>
          <w:tcPr>
            <w:tcW w:w="943" w:type="pct"/>
            <w:noWrap w:val="0"/>
            <w:vAlign w:val="center"/>
          </w:tcPr>
          <w:p w14:paraId="098224C4">
            <w:pPr>
              <w:widowControl/>
              <w:jc w:val="left"/>
              <w:rPr>
                <w:rFonts w:ascii="宋体" w:hAnsi="宋体" w:eastAsia="宋体"/>
                <w:kern w:val="0"/>
                <w:sz w:val="24"/>
              </w:rPr>
            </w:pPr>
            <w:r>
              <w:rPr>
                <w:rFonts w:hint="eastAsia" w:ascii="宋体" w:hAnsi="宋体" w:eastAsia="宋体"/>
                <w:kern w:val="0"/>
                <w:sz w:val="24"/>
              </w:rPr>
              <w:t>项目验收方案</w:t>
            </w:r>
          </w:p>
        </w:tc>
        <w:tc>
          <w:tcPr>
            <w:tcW w:w="608" w:type="pct"/>
            <w:noWrap w:val="0"/>
            <w:vAlign w:val="center"/>
          </w:tcPr>
          <w:p w14:paraId="79035765">
            <w:pPr>
              <w:widowControl/>
              <w:jc w:val="center"/>
              <w:rPr>
                <w:rFonts w:ascii="宋体" w:hAnsi="宋体" w:eastAsia="宋体"/>
                <w:kern w:val="0"/>
                <w:sz w:val="24"/>
              </w:rPr>
            </w:pPr>
            <w:r>
              <w:rPr>
                <w:rFonts w:hint="eastAsia" w:ascii="宋体" w:hAnsi="宋体"/>
                <w:kern w:val="0"/>
                <w:sz w:val="24"/>
                <w:lang w:val="en-US" w:eastAsia="zh-CN"/>
              </w:rPr>
              <w:t>6</w:t>
            </w:r>
            <w:r>
              <w:rPr>
                <w:rFonts w:hint="eastAsia" w:ascii="宋体" w:hAnsi="宋体" w:eastAsia="宋体"/>
                <w:kern w:val="0"/>
                <w:sz w:val="24"/>
              </w:rPr>
              <w:t>分</w:t>
            </w:r>
          </w:p>
        </w:tc>
        <w:tc>
          <w:tcPr>
            <w:tcW w:w="634" w:type="pct"/>
            <w:noWrap w:val="0"/>
            <w:vAlign w:val="center"/>
          </w:tcPr>
          <w:p w14:paraId="5F079407">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center"/>
          </w:tcPr>
          <w:p w14:paraId="554C7BB3">
            <w:pPr>
              <w:widowControl/>
              <w:jc w:val="left"/>
              <w:rPr>
                <w:rFonts w:ascii="宋体" w:hAnsi="宋体" w:eastAsia="宋体"/>
                <w:kern w:val="0"/>
                <w:sz w:val="24"/>
              </w:rPr>
            </w:pPr>
            <w:r>
              <w:rPr>
                <w:rFonts w:ascii="宋体" w:hAnsi="宋体" w:eastAsia="宋体"/>
                <w:kern w:val="0"/>
                <w:sz w:val="24"/>
              </w:rPr>
              <w:t>验收方案包括： 1.验收依据和相关的技术标准； 2.验收的组织形式、程序、注意事项； 3.验收环节和内容。 针对本项目验收方案，包括上述全部内容详细描述、完整无缺且具有很好的科学性和可操作性，符合项目实际，得6分； 针对本项目验收方案，包括上述全部内容描述较详细、较完整且具有较好的科学性和可操作性，较符合项目实际，得3分； 针对本项目验收方案，包括上述全部内容描述基本完整且具有一般可操作性，基本符合项目实际，得1分； 无或其它不得分。</w:t>
            </w:r>
          </w:p>
        </w:tc>
      </w:tr>
    </w:tbl>
    <w:p w14:paraId="66242759">
      <w:pPr>
        <w:jc w:val="left"/>
        <w:rPr>
          <w:rFonts w:hint="default" w:ascii="宋体" w:hAnsi="宋体"/>
          <w:b w:val="0"/>
          <w:bCs/>
          <w:sz w:val="24"/>
          <w:szCs w:val="24"/>
          <w:lang w:val="en-US" w:eastAsia="zh-CN"/>
        </w:rPr>
      </w:pP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3E8D"/>
    <w:multiLevelType w:val="singleLevel"/>
    <w:tmpl w:val="B2233E8D"/>
    <w:lvl w:ilvl="0" w:tentative="0">
      <w:start w:val="1"/>
      <w:numFmt w:val="decimal"/>
      <w:suff w:val="nothing"/>
      <w:lvlText w:val="（%1）"/>
      <w:lvlJc w:val="left"/>
    </w:lvl>
  </w:abstractNum>
  <w:abstractNum w:abstractNumId="1">
    <w:nsid w:val="F26EAE0B"/>
    <w:multiLevelType w:val="singleLevel"/>
    <w:tmpl w:val="F26EAE0B"/>
    <w:lvl w:ilvl="0" w:tentative="0">
      <w:start w:val="1"/>
      <w:numFmt w:val="decimal"/>
      <w:lvlText w:val="%1"/>
      <w:lvlJc w:val="left"/>
      <w:pPr>
        <w:tabs>
          <w:tab w:val="left" w:pos="420"/>
        </w:tabs>
        <w:ind w:left="425" w:hanging="425"/>
      </w:pPr>
      <w:rPr>
        <w:rFonts w:hint="default"/>
      </w:rPr>
    </w:lvl>
  </w:abstractNum>
  <w:abstractNum w:abstractNumId="2">
    <w:nsid w:val="48D4F3BD"/>
    <w:multiLevelType w:val="singleLevel"/>
    <w:tmpl w:val="48D4F3BD"/>
    <w:lvl w:ilvl="0" w:tentative="0">
      <w:start w:val="1"/>
      <w:numFmt w:val="decimal"/>
      <w:suff w:val="nothing"/>
      <w:lvlText w:val="（%1）"/>
      <w:lvlJc w:val="left"/>
    </w:lvl>
  </w:abstractNum>
  <w:abstractNum w:abstractNumId="3">
    <w:nsid w:val="55420C8B"/>
    <w:multiLevelType w:val="multilevel"/>
    <w:tmpl w:val="55420C8B"/>
    <w:lvl w:ilvl="0" w:tentative="0">
      <w:start w:val="1"/>
      <w:numFmt w:val="japaneseCounting"/>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60A80"/>
    <w:rsid w:val="21022A30"/>
    <w:rsid w:val="397C2B86"/>
    <w:rsid w:val="515F16FB"/>
    <w:rsid w:val="6D106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exact"/>
    </w:pPr>
    <w:rPr>
      <w:rFonts w:ascii="Calibri" w:hAnsi="Calibri"/>
      <w:sz w:val="24"/>
    </w:rPr>
  </w:style>
  <w:style w:type="paragraph" w:styleId="3">
    <w:name w:val="Body Text First Indent"/>
    <w:basedOn w:val="2"/>
    <w:qFormat/>
    <w:uiPriority w:val="0"/>
    <w:pPr>
      <w:spacing w:after="120"/>
      <w:ind w:firstLine="420" w:firstLineChars="100"/>
    </w:pPr>
  </w:style>
  <w:style w:type="paragraph" w:styleId="4">
    <w:name w:val="Body Text Indent"/>
    <w:basedOn w:val="1"/>
    <w:next w:val="5"/>
    <w:qFormat/>
    <w:uiPriority w:val="0"/>
    <w:pPr>
      <w:ind w:firstLine="540"/>
    </w:pPr>
    <w:rPr>
      <w:rFonts w:ascii="宋体"/>
      <w:sz w:val="28"/>
      <w:szCs w:val="20"/>
    </w:rPr>
  </w:style>
  <w:style w:type="paragraph" w:styleId="5">
    <w:name w:val="Body Text First Indent 2"/>
    <w:basedOn w:val="4"/>
    <w:qFormat/>
    <w:uiPriority w:val="0"/>
    <w:pPr>
      <w:spacing w:after="120"/>
      <w:ind w:left="420" w:firstLine="420"/>
    </w:pPr>
    <w:rPr>
      <w:rFonts w:ascii="Times New Roman"/>
      <w:sz w:val="21"/>
    </w:rPr>
  </w:style>
  <w:style w:type="paragraph" w:styleId="6">
    <w:name w:val="Plain Text"/>
    <w:basedOn w:val="1"/>
    <w:qFormat/>
    <w:uiPriority w:val="0"/>
    <w:pPr>
      <w:widowControl/>
      <w:jc w:val="left"/>
    </w:pPr>
    <w:rPr>
      <w:rFonts w:ascii="宋体" w:hAnsi="Courier New" w:eastAsia="宋体" w:cs="Courier New"/>
      <w:kern w:val="0"/>
      <w:sz w:val="20"/>
      <w:szCs w:val="21"/>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5416</Words>
  <Characters>6093</Characters>
  <Lines>0</Lines>
  <Paragraphs>0</Paragraphs>
  <TotalTime>6</TotalTime>
  <ScaleCrop>false</ScaleCrop>
  <LinksUpToDate>false</LinksUpToDate>
  <CharactersWithSpaces>6103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2025-11-26T02:21:00Z</dcterms:created>
  <dc:creator>lihoucong</dc:creator>
  <cp:lastModifiedBy>周泊利</cp:lastModifiedBy>
  <dcterms:modified xsi:type="dcterms:W3CDTF">2025-11-28T09:42:46Z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eyJoZGlkIjoiODU2ZTQ5MWY5ZTc5MWRiYTA5ZGI3NDQxZWM1ZWMyNzgiLCJ1c2VySWQiOiI1MjUwOTIyMDMifQ==</vt:lpwstr>
  </property>
  <property fmtid="{D5CDD505-2E9C-101B-9397-08002B2CF9AE}" pid="4" name="ICV">
    <vt:lpwstr>3CAFCB3C8B074CA7BB77F438F6C75CB9_12</vt:lpwstr>
  </property>
</Properties>
</file>